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73465" w14:textId="77777777" w:rsidR="002B4573" w:rsidRDefault="002B4573" w:rsidP="00700B8E">
      <w:pPr>
        <w:spacing w:after="0"/>
        <w:rPr>
          <w:rFonts w:cs="Arial"/>
          <w:b/>
          <w:bCs/>
          <w:sz w:val="24"/>
          <w:szCs w:val="28"/>
        </w:rPr>
      </w:pPr>
    </w:p>
    <w:p w14:paraId="1B516638" w14:textId="343385D5" w:rsidR="00B07D28" w:rsidRPr="00791212" w:rsidRDefault="00B07D28" w:rsidP="00700B8E">
      <w:pPr>
        <w:spacing w:after="0"/>
        <w:jc w:val="center"/>
        <w:rPr>
          <w:rFonts w:cs="Arial"/>
          <w:b/>
          <w:bCs/>
          <w:sz w:val="24"/>
          <w:szCs w:val="28"/>
        </w:rPr>
      </w:pPr>
      <w:r w:rsidRPr="00791212">
        <w:rPr>
          <w:rFonts w:cs="Arial"/>
          <w:b/>
          <w:bCs/>
          <w:sz w:val="24"/>
          <w:szCs w:val="28"/>
        </w:rPr>
        <w:t>Meeting of LSEC Corporation to be held on</w:t>
      </w:r>
    </w:p>
    <w:p w14:paraId="4AE92951" w14:textId="77777777" w:rsidR="00B86D28" w:rsidRDefault="001D668C" w:rsidP="00F9295B">
      <w:pPr>
        <w:spacing w:after="0"/>
        <w:jc w:val="center"/>
        <w:rPr>
          <w:rFonts w:cs="Arial"/>
          <w:b/>
          <w:bCs/>
          <w:sz w:val="24"/>
          <w:szCs w:val="28"/>
        </w:rPr>
      </w:pPr>
      <w:r>
        <w:rPr>
          <w:rFonts w:cs="Arial"/>
          <w:b/>
          <w:bCs/>
          <w:sz w:val="24"/>
          <w:szCs w:val="28"/>
        </w:rPr>
        <w:t xml:space="preserve">Wednesday 9th February 2022 </w:t>
      </w:r>
      <w:r w:rsidR="00981E03" w:rsidRPr="00791212">
        <w:rPr>
          <w:rFonts w:cs="Arial"/>
          <w:b/>
          <w:bCs/>
          <w:sz w:val="24"/>
          <w:szCs w:val="28"/>
        </w:rPr>
        <w:t>from</w:t>
      </w:r>
      <w:r w:rsidR="00B07D28" w:rsidRPr="00791212">
        <w:rPr>
          <w:rFonts w:cs="Arial"/>
          <w:b/>
          <w:bCs/>
          <w:sz w:val="24"/>
          <w:szCs w:val="28"/>
        </w:rPr>
        <w:t xml:space="preserve"> </w:t>
      </w:r>
      <w:r>
        <w:rPr>
          <w:rFonts w:cs="Arial"/>
          <w:b/>
          <w:bCs/>
          <w:sz w:val="24"/>
          <w:szCs w:val="28"/>
        </w:rPr>
        <w:t>5.30-7.30pm</w:t>
      </w:r>
      <w:r w:rsidR="00B07D28" w:rsidRPr="00791212">
        <w:rPr>
          <w:rFonts w:cs="Arial"/>
          <w:b/>
          <w:bCs/>
          <w:sz w:val="24"/>
          <w:szCs w:val="28"/>
        </w:rPr>
        <w:t xml:space="preserve"> </w:t>
      </w:r>
      <w:r w:rsidR="00786E69" w:rsidRPr="00791212">
        <w:rPr>
          <w:rFonts w:cs="Arial"/>
          <w:b/>
          <w:bCs/>
          <w:sz w:val="24"/>
          <w:szCs w:val="28"/>
        </w:rPr>
        <w:t xml:space="preserve">online </w:t>
      </w:r>
      <w:r w:rsidR="00B07D28" w:rsidRPr="00791212">
        <w:rPr>
          <w:rFonts w:cs="Arial"/>
          <w:b/>
          <w:bCs/>
          <w:sz w:val="24"/>
          <w:szCs w:val="28"/>
        </w:rPr>
        <w:t>via zoom</w:t>
      </w:r>
    </w:p>
    <w:p w14:paraId="6D956E15" w14:textId="19B1DE8E" w:rsidR="000A7BEB" w:rsidRPr="00C97BF1" w:rsidRDefault="00B86D28" w:rsidP="00F9295B">
      <w:pPr>
        <w:spacing w:after="0"/>
        <w:jc w:val="center"/>
        <w:rPr>
          <w:rFonts w:cs="Arial"/>
          <w:b/>
          <w:bCs/>
          <w:szCs w:val="24"/>
        </w:rPr>
      </w:pPr>
      <w:r>
        <w:rPr>
          <w:rFonts w:cs="Arial"/>
          <w:b/>
          <w:bCs/>
          <w:sz w:val="24"/>
          <w:szCs w:val="28"/>
        </w:rPr>
        <w:t xml:space="preserve">Board </w:t>
      </w:r>
      <w:r w:rsidR="00FA2BF7">
        <w:rPr>
          <w:rFonts w:cs="Arial"/>
          <w:b/>
          <w:bCs/>
          <w:sz w:val="24"/>
          <w:szCs w:val="28"/>
        </w:rPr>
        <w:t xml:space="preserve">Strategic </w:t>
      </w:r>
      <w:r>
        <w:rPr>
          <w:rFonts w:cs="Arial"/>
          <w:b/>
          <w:bCs/>
          <w:sz w:val="24"/>
          <w:szCs w:val="28"/>
        </w:rPr>
        <w:t xml:space="preserve">Development </w:t>
      </w:r>
      <w:r w:rsidR="000B2250">
        <w:rPr>
          <w:rFonts w:cs="Arial"/>
          <w:b/>
          <w:bCs/>
          <w:sz w:val="28"/>
          <w:szCs w:val="28"/>
        </w:rPr>
        <w:br/>
      </w:r>
      <w:r w:rsidR="00C97BF1" w:rsidRPr="00C97BF1">
        <w:rPr>
          <w:rFonts w:cs="Arial"/>
          <w:b/>
          <w:bCs/>
          <w:szCs w:val="24"/>
        </w:rPr>
        <w:t xml:space="preserve">AGENDA </w:t>
      </w:r>
    </w:p>
    <w:p w14:paraId="10766DCD" w14:textId="77777777" w:rsidR="00C97BF1" w:rsidRDefault="00C97BF1" w:rsidP="003D68F6">
      <w:pPr>
        <w:spacing w:before="120" w:after="0"/>
        <w:ind w:right="-256"/>
        <w:rPr>
          <w:rFonts w:cs="Arial"/>
          <w:b/>
          <w:bCs/>
          <w:sz w:val="20"/>
          <w:szCs w:val="20"/>
        </w:rPr>
      </w:pPr>
    </w:p>
    <w:p w14:paraId="28937C03" w14:textId="299A8E34" w:rsidR="007F2E7A" w:rsidRDefault="00B07D28" w:rsidP="003D68F6">
      <w:pPr>
        <w:spacing w:before="120" w:after="0"/>
        <w:ind w:right="-256"/>
        <w:rPr>
          <w:rFonts w:cs="Arial"/>
          <w:b/>
          <w:bCs/>
          <w:sz w:val="20"/>
          <w:szCs w:val="20"/>
        </w:rPr>
      </w:pPr>
      <w:r w:rsidRPr="00C97BF1">
        <w:rPr>
          <w:rFonts w:cs="Arial"/>
          <w:b/>
          <w:bCs/>
          <w:sz w:val="20"/>
          <w:szCs w:val="20"/>
        </w:rPr>
        <w:t>Welcome, apologies and declarations of interest</w:t>
      </w:r>
      <w:r w:rsidR="00A71DD9" w:rsidRPr="00C97BF1">
        <w:rPr>
          <w:rFonts w:cs="Arial"/>
          <w:b/>
          <w:bCs/>
          <w:sz w:val="20"/>
          <w:szCs w:val="20"/>
        </w:rPr>
        <w:t>.</w:t>
      </w:r>
      <w:r w:rsidR="00952275" w:rsidRPr="00C97BF1">
        <w:rPr>
          <w:rFonts w:cs="Arial"/>
          <w:b/>
          <w:bCs/>
          <w:sz w:val="20"/>
          <w:szCs w:val="20"/>
        </w:rPr>
        <w:t xml:space="preserve"> </w:t>
      </w:r>
      <w:r w:rsidR="00952275" w:rsidRPr="00C97BF1">
        <w:rPr>
          <w:rFonts w:cs="Arial"/>
          <w:b/>
          <w:bCs/>
          <w:sz w:val="20"/>
          <w:szCs w:val="20"/>
        </w:rPr>
        <w:tab/>
      </w:r>
      <w:r w:rsidR="00952275" w:rsidRPr="00C97BF1">
        <w:rPr>
          <w:rFonts w:cs="Arial"/>
          <w:b/>
          <w:bCs/>
          <w:sz w:val="20"/>
          <w:szCs w:val="20"/>
        </w:rPr>
        <w:tab/>
      </w:r>
      <w:r w:rsidR="00A71DD9" w:rsidRPr="00C97BF1">
        <w:rPr>
          <w:rFonts w:cs="Arial"/>
          <w:b/>
          <w:bCs/>
          <w:sz w:val="20"/>
          <w:szCs w:val="20"/>
        </w:rPr>
        <w:tab/>
      </w:r>
      <w:r w:rsidR="00744082" w:rsidRPr="00C97BF1">
        <w:rPr>
          <w:rFonts w:cs="Arial"/>
          <w:b/>
          <w:bCs/>
          <w:sz w:val="20"/>
          <w:szCs w:val="20"/>
        </w:rPr>
        <w:tab/>
        <w:t xml:space="preserve">Chair: </w:t>
      </w:r>
      <w:r w:rsidR="00044470" w:rsidRPr="00C97BF1">
        <w:rPr>
          <w:rFonts w:cs="Arial"/>
          <w:b/>
          <w:bCs/>
          <w:sz w:val="20"/>
          <w:szCs w:val="20"/>
        </w:rPr>
        <w:t>David Eastgate</w:t>
      </w:r>
    </w:p>
    <w:p w14:paraId="6F62C981" w14:textId="77777777" w:rsidR="001D4725" w:rsidRPr="001D4725" w:rsidRDefault="00E61360" w:rsidP="003D68F6">
      <w:pPr>
        <w:spacing w:before="120" w:after="0"/>
        <w:ind w:right="-256"/>
        <w:rPr>
          <w:rFonts w:cs="Arial"/>
          <w:sz w:val="20"/>
          <w:szCs w:val="20"/>
        </w:rPr>
      </w:pPr>
      <w:r w:rsidRPr="001D4725">
        <w:rPr>
          <w:rFonts w:cs="Arial"/>
          <w:sz w:val="20"/>
          <w:szCs w:val="20"/>
        </w:rPr>
        <w:t>Chair-DE Welcomed Governors and confirmed that 1-1 meetings would be arranged</w:t>
      </w:r>
      <w:r w:rsidR="00E62277" w:rsidRPr="001D4725">
        <w:rPr>
          <w:rFonts w:cs="Arial"/>
          <w:sz w:val="20"/>
          <w:szCs w:val="20"/>
        </w:rPr>
        <w:t xml:space="preserve"> between the Chair and Governors.</w:t>
      </w:r>
    </w:p>
    <w:p w14:paraId="2EC6A9D6" w14:textId="5E08A803" w:rsidR="002250B9" w:rsidRPr="001D4725" w:rsidRDefault="001D4725" w:rsidP="003D68F6">
      <w:pPr>
        <w:spacing w:before="120" w:after="0"/>
        <w:ind w:right="-256"/>
        <w:rPr>
          <w:rFonts w:cs="Arial"/>
          <w:sz w:val="20"/>
          <w:szCs w:val="20"/>
        </w:rPr>
      </w:pPr>
      <w:r w:rsidRPr="001D4725">
        <w:rPr>
          <w:rFonts w:cs="Arial"/>
          <w:sz w:val="20"/>
          <w:szCs w:val="20"/>
        </w:rPr>
        <w:t xml:space="preserve">Chair-DE welcomed </w:t>
      </w:r>
      <w:r w:rsidR="002250B9" w:rsidRPr="001D4725">
        <w:rPr>
          <w:rFonts w:cs="Arial"/>
          <w:sz w:val="20"/>
          <w:szCs w:val="20"/>
        </w:rPr>
        <w:t>Asfa</w:t>
      </w:r>
      <w:r w:rsidRPr="001D4725">
        <w:rPr>
          <w:rFonts w:cs="Arial"/>
          <w:sz w:val="20"/>
          <w:szCs w:val="20"/>
        </w:rPr>
        <w:t xml:space="preserve"> Sohail. </w:t>
      </w:r>
      <w:r w:rsidR="00A609E2">
        <w:rPr>
          <w:rFonts w:cs="Arial"/>
          <w:sz w:val="20"/>
          <w:szCs w:val="20"/>
        </w:rPr>
        <w:t xml:space="preserve"> Apologies </w:t>
      </w:r>
      <w:r w:rsidR="00544DDF">
        <w:rPr>
          <w:rFonts w:cs="Arial"/>
          <w:sz w:val="20"/>
          <w:szCs w:val="20"/>
        </w:rPr>
        <w:t xml:space="preserve">received </w:t>
      </w:r>
      <w:r w:rsidR="00A609E2">
        <w:rPr>
          <w:rFonts w:cs="Arial"/>
          <w:sz w:val="20"/>
          <w:szCs w:val="20"/>
        </w:rPr>
        <w:t>from Joanne Bell</w:t>
      </w:r>
      <w:r w:rsidR="0096193D">
        <w:rPr>
          <w:rFonts w:cs="Arial"/>
          <w:sz w:val="20"/>
          <w:szCs w:val="20"/>
        </w:rPr>
        <w:t xml:space="preserve"> and Chinyama </w:t>
      </w:r>
      <w:r w:rsidR="00575C9A" w:rsidRPr="00C97BF1">
        <w:rPr>
          <w:sz w:val="20"/>
          <w:szCs w:val="20"/>
        </w:rPr>
        <w:t>Okunuga</w:t>
      </w:r>
      <w:r w:rsidR="00544DDF">
        <w:rPr>
          <w:sz w:val="20"/>
          <w:szCs w:val="20"/>
        </w:rPr>
        <w:t>.</w:t>
      </w:r>
    </w:p>
    <w:p w14:paraId="57746379" w14:textId="589C9596" w:rsidR="00804386" w:rsidRPr="001D4725" w:rsidRDefault="001D4725" w:rsidP="003D68F6">
      <w:pPr>
        <w:spacing w:before="120" w:after="0"/>
        <w:ind w:right="-256"/>
        <w:rPr>
          <w:rFonts w:cs="Arial"/>
          <w:sz w:val="20"/>
          <w:szCs w:val="20"/>
        </w:rPr>
      </w:pPr>
      <w:r w:rsidRPr="001D4725">
        <w:rPr>
          <w:rFonts w:cs="Arial"/>
          <w:sz w:val="20"/>
          <w:szCs w:val="20"/>
        </w:rPr>
        <w:t>There were no</w:t>
      </w:r>
      <w:r w:rsidR="00804386" w:rsidRPr="001D4725">
        <w:rPr>
          <w:rFonts w:cs="Arial"/>
          <w:sz w:val="20"/>
          <w:szCs w:val="20"/>
        </w:rPr>
        <w:t xml:space="preserve"> declarations </w:t>
      </w:r>
    </w:p>
    <w:p w14:paraId="17942177" w14:textId="20E62A5A" w:rsidR="006D1846" w:rsidRPr="001D4725" w:rsidRDefault="00327BE3" w:rsidP="00A80BB8">
      <w:pPr>
        <w:spacing w:before="120" w:after="0"/>
        <w:rPr>
          <w:rFonts w:cs="Arial"/>
          <w:sz w:val="20"/>
          <w:szCs w:val="20"/>
        </w:rPr>
      </w:pPr>
      <w:r w:rsidRPr="001D4725">
        <w:rPr>
          <w:rFonts w:cs="Arial"/>
          <w:sz w:val="20"/>
          <w:szCs w:val="20"/>
        </w:rPr>
        <w:t>Minutes and Actions from previous meeting</w:t>
      </w:r>
      <w:r w:rsidR="001D4725" w:rsidRPr="001D4725">
        <w:rPr>
          <w:rFonts w:cs="Arial"/>
          <w:sz w:val="20"/>
          <w:szCs w:val="20"/>
        </w:rPr>
        <w:t xml:space="preserve"> were </w:t>
      </w:r>
      <w:r w:rsidR="001D4725" w:rsidRPr="00D56FCB">
        <w:rPr>
          <w:rFonts w:cs="Arial"/>
          <w:b/>
          <w:bCs/>
          <w:sz w:val="20"/>
          <w:szCs w:val="20"/>
        </w:rPr>
        <w:t>APPROVED</w:t>
      </w:r>
      <w:r w:rsidR="00D56FCB">
        <w:rPr>
          <w:rFonts w:cs="Arial"/>
          <w:sz w:val="20"/>
          <w:szCs w:val="20"/>
        </w:rPr>
        <w:t>.</w:t>
      </w:r>
      <w:r w:rsidR="00A80BB8" w:rsidRPr="001D4725">
        <w:rPr>
          <w:rFonts w:cs="Arial"/>
          <w:sz w:val="20"/>
          <w:szCs w:val="20"/>
        </w:rPr>
        <w:br/>
      </w:r>
    </w:p>
    <w:tbl>
      <w:tblPr>
        <w:tblStyle w:val="TableGrid"/>
        <w:tblW w:w="9640" w:type="dxa"/>
        <w:tblInd w:w="-5" w:type="dxa"/>
        <w:tblLayout w:type="fixed"/>
        <w:tblLook w:val="04A0" w:firstRow="1" w:lastRow="0" w:firstColumn="1" w:lastColumn="0" w:noHBand="0" w:noVBand="1"/>
      </w:tblPr>
      <w:tblGrid>
        <w:gridCol w:w="567"/>
        <w:gridCol w:w="4111"/>
        <w:gridCol w:w="3686"/>
        <w:gridCol w:w="567"/>
        <w:gridCol w:w="709"/>
      </w:tblGrid>
      <w:tr w:rsidR="009E27BD" w:rsidRPr="00C97BF1" w14:paraId="4CB77E4A" w14:textId="77777777" w:rsidTr="009E27BD">
        <w:tc>
          <w:tcPr>
            <w:tcW w:w="4678" w:type="dxa"/>
            <w:gridSpan w:val="2"/>
            <w:shd w:val="clear" w:color="auto" w:fill="BDD6EE" w:themeFill="accent5" w:themeFillTint="66"/>
            <w:vAlign w:val="center"/>
          </w:tcPr>
          <w:p w14:paraId="36FFC8F1" w14:textId="704B7D60" w:rsidR="009E27BD" w:rsidRPr="00C97BF1" w:rsidRDefault="009E27BD" w:rsidP="00F17A62">
            <w:pPr>
              <w:spacing w:before="60" w:after="60"/>
              <w:ind w:left="321" w:hanging="321"/>
              <w:rPr>
                <w:rFonts w:cs="Arial"/>
                <w:b/>
                <w:bCs/>
                <w:sz w:val="20"/>
                <w:szCs w:val="20"/>
              </w:rPr>
            </w:pPr>
            <w:r w:rsidRPr="00C97BF1">
              <w:rPr>
                <w:rFonts w:cs="Arial"/>
                <w:b/>
                <w:bCs/>
                <w:sz w:val="20"/>
                <w:szCs w:val="20"/>
              </w:rPr>
              <w:t xml:space="preserve">A. Governance Matters (Board only) </w:t>
            </w:r>
          </w:p>
        </w:tc>
        <w:tc>
          <w:tcPr>
            <w:tcW w:w="4253" w:type="dxa"/>
            <w:gridSpan w:val="2"/>
            <w:shd w:val="clear" w:color="auto" w:fill="BDD6EE" w:themeFill="accent5" w:themeFillTint="66"/>
            <w:vAlign w:val="center"/>
          </w:tcPr>
          <w:p w14:paraId="79ECA076" w14:textId="114B88DA" w:rsidR="009E27BD" w:rsidRPr="00C97BF1" w:rsidRDefault="009E27BD" w:rsidP="00F17A62">
            <w:pPr>
              <w:spacing w:before="60" w:after="60"/>
              <w:rPr>
                <w:rFonts w:cs="Arial"/>
                <w:b/>
                <w:bCs/>
                <w:sz w:val="20"/>
                <w:szCs w:val="20"/>
              </w:rPr>
            </w:pPr>
            <w:r w:rsidRPr="00C97BF1">
              <w:rPr>
                <w:rFonts w:cs="Arial"/>
                <w:b/>
                <w:bCs/>
                <w:sz w:val="20"/>
                <w:szCs w:val="20"/>
              </w:rPr>
              <w:t>(15 mins)</w:t>
            </w:r>
          </w:p>
        </w:tc>
        <w:tc>
          <w:tcPr>
            <w:tcW w:w="709" w:type="dxa"/>
            <w:shd w:val="clear" w:color="auto" w:fill="BDD6EE" w:themeFill="accent5" w:themeFillTint="66"/>
            <w:vAlign w:val="center"/>
          </w:tcPr>
          <w:p w14:paraId="05D4B885" w14:textId="5FCDB18D" w:rsidR="009E27BD" w:rsidRPr="00C97BF1" w:rsidRDefault="009E27BD" w:rsidP="00F17A62">
            <w:pPr>
              <w:spacing w:before="60" w:after="60"/>
              <w:rPr>
                <w:rFonts w:cs="Arial"/>
                <w:b/>
                <w:bCs/>
                <w:sz w:val="20"/>
                <w:szCs w:val="20"/>
              </w:rPr>
            </w:pPr>
            <w:r w:rsidRPr="00C97BF1">
              <w:rPr>
                <w:rFonts w:cs="Arial"/>
                <w:b/>
                <w:bCs/>
                <w:sz w:val="20"/>
                <w:szCs w:val="20"/>
              </w:rPr>
              <w:t>Lead</w:t>
            </w:r>
          </w:p>
        </w:tc>
      </w:tr>
      <w:tr w:rsidR="009E27BD" w:rsidRPr="00C97BF1" w14:paraId="12C278A9" w14:textId="77777777" w:rsidTr="009E27BD">
        <w:trPr>
          <w:trHeight w:val="452"/>
        </w:trPr>
        <w:tc>
          <w:tcPr>
            <w:tcW w:w="567" w:type="dxa"/>
            <w:vAlign w:val="center"/>
          </w:tcPr>
          <w:p w14:paraId="3490AF45" w14:textId="52FE7802" w:rsidR="009E27BD" w:rsidRPr="00C97BF1" w:rsidRDefault="009E27BD" w:rsidP="00297EB8">
            <w:pPr>
              <w:pStyle w:val="ListParagraph"/>
              <w:spacing w:before="60" w:after="60"/>
              <w:ind w:left="0"/>
              <w:rPr>
                <w:rFonts w:cs="Arial"/>
                <w:sz w:val="20"/>
                <w:szCs w:val="20"/>
              </w:rPr>
            </w:pPr>
            <w:r w:rsidRPr="00C97BF1">
              <w:rPr>
                <w:rFonts w:cs="Arial"/>
                <w:sz w:val="20"/>
                <w:szCs w:val="20"/>
              </w:rPr>
              <w:t>A1</w:t>
            </w:r>
          </w:p>
        </w:tc>
        <w:tc>
          <w:tcPr>
            <w:tcW w:w="4111" w:type="dxa"/>
            <w:vAlign w:val="center"/>
          </w:tcPr>
          <w:p w14:paraId="2DA0C269" w14:textId="7B9969F6" w:rsidR="009E27BD" w:rsidRPr="00C97BF1" w:rsidRDefault="009E27BD" w:rsidP="00297EB8">
            <w:pPr>
              <w:pStyle w:val="ListParagraph"/>
              <w:spacing w:before="60" w:after="60"/>
              <w:ind w:left="0"/>
              <w:rPr>
                <w:rFonts w:cs="Arial"/>
                <w:sz w:val="20"/>
                <w:szCs w:val="20"/>
              </w:rPr>
            </w:pPr>
            <w:r w:rsidRPr="00C97BF1">
              <w:rPr>
                <w:rFonts w:cs="Arial"/>
                <w:sz w:val="20"/>
                <w:szCs w:val="20"/>
              </w:rPr>
              <w:t xml:space="preserve">2020/21 Board Self Evaluation </w:t>
            </w:r>
          </w:p>
        </w:tc>
        <w:tc>
          <w:tcPr>
            <w:tcW w:w="3686" w:type="dxa"/>
            <w:vAlign w:val="center"/>
          </w:tcPr>
          <w:p w14:paraId="6E486037" w14:textId="3DB0D33F" w:rsidR="009E27BD" w:rsidRPr="00C97BF1" w:rsidRDefault="009E27BD" w:rsidP="00297EB8">
            <w:pPr>
              <w:pStyle w:val="ListParagraph"/>
              <w:spacing w:before="60" w:after="60"/>
              <w:ind w:left="0"/>
              <w:rPr>
                <w:rFonts w:cs="Arial"/>
                <w:sz w:val="20"/>
                <w:szCs w:val="20"/>
              </w:rPr>
            </w:pPr>
            <w:r w:rsidRPr="00C97BF1">
              <w:rPr>
                <w:rFonts w:cs="Arial"/>
                <w:sz w:val="20"/>
                <w:szCs w:val="20"/>
              </w:rPr>
              <w:t>Board Evaluation and Action Plan</w:t>
            </w:r>
          </w:p>
        </w:tc>
        <w:tc>
          <w:tcPr>
            <w:tcW w:w="567" w:type="dxa"/>
            <w:vAlign w:val="center"/>
          </w:tcPr>
          <w:p w14:paraId="69A00B13" w14:textId="57927C9B" w:rsidR="009E27BD" w:rsidRPr="00C97BF1" w:rsidRDefault="009E27BD" w:rsidP="00297EB8">
            <w:pPr>
              <w:pStyle w:val="ListParagraph"/>
              <w:spacing w:before="60" w:after="60"/>
              <w:ind w:left="0"/>
              <w:rPr>
                <w:rFonts w:cs="Arial"/>
                <w:sz w:val="20"/>
                <w:szCs w:val="20"/>
              </w:rPr>
            </w:pPr>
            <w:r w:rsidRPr="00C97BF1">
              <w:rPr>
                <w:rFonts w:cs="Arial"/>
                <w:sz w:val="20"/>
                <w:szCs w:val="20"/>
              </w:rPr>
              <w:t>A</w:t>
            </w:r>
          </w:p>
        </w:tc>
        <w:tc>
          <w:tcPr>
            <w:tcW w:w="709" w:type="dxa"/>
            <w:vAlign w:val="center"/>
          </w:tcPr>
          <w:p w14:paraId="3BD5C3BA" w14:textId="0D361361" w:rsidR="009E27BD" w:rsidRPr="00C97BF1" w:rsidRDefault="009E27BD" w:rsidP="00297EB8">
            <w:pPr>
              <w:pStyle w:val="ListParagraph"/>
              <w:spacing w:before="60" w:after="60"/>
              <w:ind w:left="0"/>
              <w:rPr>
                <w:rFonts w:cs="Arial"/>
                <w:sz w:val="20"/>
                <w:szCs w:val="20"/>
              </w:rPr>
            </w:pPr>
            <w:r w:rsidRPr="00C97BF1">
              <w:rPr>
                <w:rFonts w:cs="Arial"/>
                <w:sz w:val="20"/>
                <w:szCs w:val="20"/>
              </w:rPr>
              <w:t>DE</w:t>
            </w:r>
          </w:p>
        </w:tc>
      </w:tr>
      <w:tr w:rsidR="005D0D59" w:rsidRPr="00C97BF1" w14:paraId="151BFBA9" w14:textId="77777777" w:rsidTr="00C101A7">
        <w:trPr>
          <w:trHeight w:val="452"/>
        </w:trPr>
        <w:tc>
          <w:tcPr>
            <w:tcW w:w="9640" w:type="dxa"/>
            <w:gridSpan w:val="5"/>
            <w:vAlign w:val="center"/>
          </w:tcPr>
          <w:p w14:paraId="15A8BEAD" w14:textId="77777777" w:rsidR="005D0D59" w:rsidRDefault="005D0D59" w:rsidP="00297EB8">
            <w:pPr>
              <w:pStyle w:val="ListParagraph"/>
              <w:spacing w:before="60" w:after="60"/>
              <w:ind w:left="0"/>
              <w:rPr>
                <w:rFonts w:cs="Arial"/>
                <w:sz w:val="20"/>
                <w:szCs w:val="20"/>
              </w:rPr>
            </w:pPr>
            <w:r>
              <w:rPr>
                <w:rFonts w:cs="Arial"/>
                <w:sz w:val="20"/>
                <w:szCs w:val="20"/>
              </w:rPr>
              <w:t xml:space="preserve">The Board reviewed the Board self-evaluation form and discussed the Board’s performance over the period 2020/21.  </w:t>
            </w:r>
          </w:p>
          <w:p w14:paraId="05A7B217" w14:textId="77777777" w:rsidR="005D0D59" w:rsidRDefault="005D0D59" w:rsidP="00297EB8">
            <w:pPr>
              <w:pStyle w:val="ListParagraph"/>
              <w:spacing w:before="60" w:after="60"/>
              <w:ind w:left="0"/>
              <w:rPr>
                <w:rFonts w:cs="Arial"/>
                <w:sz w:val="20"/>
                <w:szCs w:val="20"/>
              </w:rPr>
            </w:pPr>
          </w:p>
          <w:p w14:paraId="0D67DB86" w14:textId="77777777" w:rsidR="005D0D59" w:rsidRDefault="005D0D59" w:rsidP="00297EB8">
            <w:pPr>
              <w:pStyle w:val="ListParagraph"/>
              <w:spacing w:before="60" w:after="60"/>
              <w:ind w:left="0"/>
              <w:rPr>
                <w:rFonts w:cs="Arial"/>
                <w:sz w:val="20"/>
                <w:szCs w:val="20"/>
              </w:rPr>
            </w:pPr>
            <w:r>
              <w:rPr>
                <w:rFonts w:cs="Arial"/>
                <w:sz w:val="20"/>
                <w:szCs w:val="20"/>
              </w:rPr>
              <w:t xml:space="preserve">The Self-Assessment comprises 16 questions and lines of enquiry for the Board to consider and assess their performance and impact.  Questions 1-5 were completed at the meeting after due consideration of the Board activities in the period.  </w:t>
            </w:r>
          </w:p>
          <w:p w14:paraId="645D5BE0" w14:textId="77777777" w:rsidR="005D0D59" w:rsidRDefault="005D0D59" w:rsidP="00297EB8">
            <w:pPr>
              <w:pStyle w:val="ListParagraph"/>
              <w:spacing w:before="60" w:after="60"/>
              <w:ind w:left="0"/>
              <w:rPr>
                <w:rFonts w:cs="Arial"/>
                <w:sz w:val="20"/>
                <w:szCs w:val="20"/>
              </w:rPr>
            </w:pPr>
          </w:p>
          <w:p w14:paraId="3BBB2234" w14:textId="5C70F78E" w:rsidR="005D0D59" w:rsidRPr="00C97BF1" w:rsidRDefault="005D0D59" w:rsidP="00297EB8">
            <w:pPr>
              <w:pStyle w:val="ListParagraph"/>
              <w:spacing w:before="60" w:after="60"/>
              <w:ind w:left="0"/>
              <w:rPr>
                <w:rFonts w:cs="Arial"/>
                <w:sz w:val="20"/>
                <w:szCs w:val="20"/>
              </w:rPr>
            </w:pPr>
            <w:r w:rsidRPr="00A609E2">
              <w:rPr>
                <w:rFonts w:cs="Arial"/>
                <w:b/>
                <w:bCs/>
                <w:sz w:val="20"/>
                <w:szCs w:val="20"/>
              </w:rPr>
              <w:t>ACTION:</w:t>
            </w:r>
            <w:r>
              <w:rPr>
                <w:rFonts w:cs="Arial"/>
                <w:sz w:val="20"/>
                <w:szCs w:val="20"/>
              </w:rPr>
              <w:t xml:space="preserve"> The remaining questions of the review will be brought forward and considered at the next Corporation in March.</w:t>
            </w:r>
          </w:p>
        </w:tc>
      </w:tr>
      <w:tr w:rsidR="009E27BD" w:rsidRPr="00C97BF1" w14:paraId="3B7AE827" w14:textId="0D0C71C5" w:rsidTr="009E27BD">
        <w:tc>
          <w:tcPr>
            <w:tcW w:w="4678" w:type="dxa"/>
            <w:gridSpan w:val="2"/>
            <w:shd w:val="clear" w:color="auto" w:fill="FFF2CC" w:themeFill="accent4" w:themeFillTint="33"/>
            <w:vAlign w:val="center"/>
          </w:tcPr>
          <w:p w14:paraId="1626C5C5" w14:textId="206E6EC7" w:rsidR="009E27BD" w:rsidRPr="00C97BF1" w:rsidRDefault="009E27BD" w:rsidP="00F17A62">
            <w:pPr>
              <w:spacing w:before="60" w:after="60"/>
              <w:ind w:left="321" w:hanging="321"/>
              <w:rPr>
                <w:rFonts w:cs="Arial"/>
                <w:b/>
                <w:bCs/>
                <w:sz w:val="20"/>
                <w:szCs w:val="20"/>
              </w:rPr>
            </w:pPr>
            <w:r w:rsidRPr="00C97BF1">
              <w:rPr>
                <w:rFonts w:cs="Arial"/>
                <w:b/>
                <w:bCs/>
                <w:sz w:val="20"/>
                <w:szCs w:val="20"/>
              </w:rPr>
              <w:t>B</w:t>
            </w:r>
            <w:r w:rsidRPr="00C97BF1">
              <w:rPr>
                <w:rFonts w:cs="Arial"/>
                <w:b/>
                <w:bCs/>
                <w:sz w:val="20"/>
                <w:szCs w:val="20"/>
              </w:rPr>
              <w:tab/>
              <w:t xml:space="preserve">Discussion items </w:t>
            </w:r>
          </w:p>
        </w:tc>
        <w:tc>
          <w:tcPr>
            <w:tcW w:w="4253" w:type="dxa"/>
            <w:gridSpan w:val="2"/>
            <w:shd w:val="clear" w:color="auto" w:fill="FFF2CC" w:themeFill="accent4" w:themeFillTint="33"/>
            <w:vAlign w:val="center"/>
          </w:tcPr>
          <w:p w14:paraId="1A1DD50E" w14:textId="4FEB188D" w:rsidR="009E27BD" w:rsidRPr="00C97BF1" w:rsidRDefault="009E27BD" w:rsidP="00F17A62">
            <w:pPr>
              <w:spacing w:before="60" w:after="60"/>
              <w:rPr>
                <w:rFonts w:cs="Arial"/>
                <w:b/>
                <w:bCs/>
                <w:sz w:val="20"/>
                <w:szCs w:val="20"/>
              </w:rPr>
            </w:pPr>
            <w:r w:rsidRPr="00C97BF1">
              <w:rPr>
                <w:rFonts w:cs="Arial"/>
                <w:b/>
                <w:bCs/>
                <w:sz w:val="20"/>
                <w:szCs w:val="20"/>
              </w:rPr>
              <w:t>(10 mins)</w:t>
            </w:r>
          </w:p>
        </w:tc>
        <w:tc>
          <w:tcPr>
            <w:tcW w:w="709" w:type="dxa"/>
            <w:shd w:val="clear" w:color="auto" w:fill="FFF2CC" w:themeFill="accent4" w:themeFillTint="33"/>
            <w:vAlign w:val="center"/>
          </w:tcPr>
          <w:p w14:paraId="3EBA3554" w14:textId="226CC57C" w:rsidR="009E27BD" w:rsidRPr="00C97BF1" w:rsidRDefault="009E27BD" w:rsidP="00F17A62">
            <w:pPr>
              <w:spacing w:before="60" w:after="60"/>
              <w:rPr>
                <w:rFonts w:cs="Arial"/>
                <w:b/>
                <w:bCs/>
                <w:sz w:val="20"/>
                <w:szCs w:val="20"/>
              </w:rPr>
            </w:pPr>
          </w:p>
        </w:tc>
      </w:tr>
      <w:tr w:rsidR="009E27BD" w:rsidRPr="00C97BF1" w14:paraId="73D27559" w14:textId="7A5D8D8E" w:rsidTr="009E27BD">
        <w:trPr>
          <w:trHeight w:val="310"/>
        </w:trPr>
        <w:tc>
          <w:tcPr>
            <w:tcW w:w="567" w:type="dxa"/>
            <w:vAlign w:val="center"/>
          </w:tcPr>
          <w:p w14:paraId="0F63FC4E" w14:textId="53CB2044" w:rsidR="009E27BD" w:rsidRPr="00C97BF1" w:rsidRDefault="009E27BD" w:rsidP="00F17A62">
            <w:pPr>
              <w:pStyle w:val="ListParagraph"/>
              <w:spacing w:before="60" w:after="60"/>
              <w:ind w:left="0"/>
              <w:rPr>
                <w:rFonts w:cs="Arial"/>
                <w:sz w:val="20"/>
                <w:szCs w:val="20"/>
              </w:rPr>
            </w:pPr>
            <w:r w:rsidRPr="00C97BF1">
              <w:rPr>
                <w:rFonts w:cs="Arial"/>
                <w:sz w:val="20"/>
                <w:szCs w:val="20"/>
              </w:rPr>
              <w:t>B1</w:t>
            </w:r>
          </w:p>
        </w:tc>
        <w:tc>
          <w:tcPr>
            <w:tcW w:w="4111" w:type="dxa"/>
            <w:vAlign w:val="center"/>
          </w:tcPr>
          <w:p w14:paraId="7528FAC1" w14:textId="400DC39B" w:rsidR="009E27BD" w:rsidRPr="00C97BF1" w:rsidRDefault="009E27BD" w:rsidP="00F17A62">
            <w:pPr>
              <w:pStyle w:val="ListParagraph"/>
              <w:spacing w:before="60" w:after="60"/>
              <w:ind w:left="0"/>
              <w:rPr>
                <w:rFonts w:cs="Arial"/>
                <w:sz w:val="20"/>
                <w:szCs w:val="20"/>
              </w:rPr>
            </w:pPr>
            <w:r w:rsidRPr="00C97BF1">
              <w:rPr>
                <w:rFonts w:cs="Arial"/>
                <w:sz w:val="20"/>
                <w:szCs w:val="20"/>
              </w:rPr>
              <w:t>Group Principal &amp; CEO Verbal Update</w:t>
            </w:r>
          </w:p>
        </w:tc>
        <w:tc>
          <w:tcPr>
            <w:tcW w:w="3686" w:type="dxa"/>
            <w:vAlign w:val="center"/>
          </w:tcPr>
          <w:p w14:paraId="4028AF1B" w14:textId="1614E2F5" w:rsidR="009E27BD" w:rsidRPr="00C97BF1" w:rsidRDefault="009E27BD" w:rsidP="00F17A62">
            <w:pPr>
              <w:pStyle w:val="ListParagraph"/>
              <w:spacing w:before="60" w:after="60"/>
              <w:ind w:left="0"/>
              <w:rPr>
                <w:rFonts w:cs="Arial"/>
                <w:sz w:val="20"/>
                <w:szCs w:val="20"/>
              </w:rPr>
            </w:pPr>
            <w:r w:rsidRPr="00C97BF1">
              <w:rPr>
                <w:rFonts w:cs="Arial"/>
                <w:sz w:val="20"/>
                <w:szCs w:val="20"/>
              </w:rPr>
              <w:t>Appendix: GEX 2022 Structure</w:t>
            </w:r>
          </w:p>
        </w:tc>
        <w:tc>
          <w:tcPr>
            <w:tcW w:w="567" w:type="dxa"/>
            <w:vAlign w:val="center"/>
          </w:tcPr>
          <w:p w14:paraId="35AD6ED3" w14:textId="3678964C" w:rsidR="009E27BD" w:rsidRPr="00C97BF1" w:rsidRDefault="009E27BD" w:rsidP="00F17A62">
            <w:pPr>
              <w:pStyle w:val="ListParagraph"/>
              <w:spacing w:before="60" w:after="60"/>
              <w:ind w:left="0"/>
              <w:rPr>
                <w:rFonts w:cs="Arial"/>
                <w:sz w:val="20"/>
                <w:szCs w:val="20"/>
              </w:rPr>
            </w:pPr>
            <w:r w:rsidRPr="00C97BF1">
              <w:rPr>
                <w:rFonts w:cs="Arial"/>
                <w:sz w:val="20"/>
                <w:szCs w:val="20"/>
              </w:rPr>
              <w:t>V</w:t>
            </w:r>
            <w:r w:rsidR="00A43845">
              <w:rPr>
                <w:rFonts w:cs="Arial"/>
                <w:sz w:val="20"/>
                <w:szCs w:val="20"/>
              </w:rPr>
              <w:t>/A</w:t>
            </w:r>
          </w:p>
        </w:tc>
        <w:tc>
          <w:tcPr>
            <w:tcW w:w="709" w:type="dxa"/>
            <w:vAlign w:val="center"/>
          </w:tcPr>
          <w:p w14:paraId="7B39252A" w14:textId="0DCE12A1" w:rsidR="009E27BD" w:rsidRPr="00C97BF1" w:rsidRDefault="009E27BD" w:rsidP="00F17A62">
            <w:pPr>
              <w:pStyle w:val="ListParagraph"/>
              <w:spacing w:before="60" w:after="60"/>
              <w:ind w:left="0"/>
              <w:rPr>
                <w:rFonts w:cs="Arial"/>
                <w:sz w:val="20"/>
                <w:szCs w:val="20"/>
              </w:rPr>
            </w:pPr>
            <w:r w:rsidRPr="00C97BF1">
              <w:rPr>
                <w:rFonts w:cs="Arial"/>
                <w:sz w:val="20"/>
                <w:szCs w:val="20"/>
              </w:rPr>
              <w:t>SP</w:t>
            </w:r>
          </w:p>
        </w:tc>
      </w:tr>
      <w:tr w:rsidR="005D0D59" w:rsidRPr="00745B22" w14:paraId="51410D44" w14:textId="77777777" w:rsidTr="0039423F">
        <w:trPr>
          <w:trHeight w:val="210"/>
        </w:trPr>
        <w:tc>
          <w:tcPr>
            <w:tcW w:w="9640" w:type="dxa"/>
            <w:gridSpan w:val="5"/>
            <w:shd w:val="clear" w:color="auto" w:fill="auto"/>
            <w:vAlign w:val="center"/>
          </w:tcPr>
          <w:p w14:paraId="422283D8" w14:textId="77777777" w:rsidR="005D0D59" w:rsidRPr="006967ED" w:rsidRDefault="005D0D59" w:rsidP="00745B22">
            <w:pPr>
              <w:rPr>
                <w:rFonts w:eastAsia="Times New Roman" w:cs="Arial"/>
                <w:bCs/>
                <w:iCs/>
                <w:sz w:val="20"/>
                <w:szCs w:val="20"/>
                <w:lang w:eastAsia="en-GB"/>
              </w:rPr>
            </w:pPr>
            <w:r w:rsidRPr="006967ED">
              <w:rPr>
                <w:rFonts w:eastAsia="Times New Roman" w:cs="Arial"/>
                <w:bCs/>
                <w:iCs/>
                <w:sz w:val="20"/>
                <w:szCs w:val="20"/>
                <w:lang w:eastAsia="en-GB"/>
              </w:rPr>
              <w:t xml:space="preserve">Update on Key Issues </w:t>
            </w:r>
          </w:p>
          <w:p w14:paraId="4128D4C7" w14:textId="77777777" w:rsidR="005D0D59" w:rsidRPr="006967ED" w:rsidRDefault="005D0D59" w:rsidP="00D7673B">
            <w:pPr>
              <w:spacing w:after="0" w:line="240" w:lineRule="auto"/>
              <w:rPr>
                <w:rFonts w:eastAsia="Times New Roman" w:cs="Arial"/>
                <w:bCs/>
                <w:iCs/>
                <w:sz w:val="20"/>
                <w:szCs w:val="20"/>
                <w:lang w:eastAsia="en-GB"/>
              </w:rPr>
            </w:pPr>
            <w:r w:rsidRPr="006967ED">
              <w:rPr>
                <w:rFonts w:eastAsia="Times New Roman" w:cs="Arial"/>
                <w:bCs/>
                <w:iCs/>
                <w:sz w:val="20"/>
                <w:szCs w:val="20"/>
                <w:lang w:eastAsia="en-GB"/>
              </w:rPr>
              <w:t>The Board were provided with an update on the Spring Term, and it was reported that the impact of Covid post-Christmas on staffing levels and cover has been minimal and whilst extensive contingency planning was in place, operationally any impact has been dealt with at a local level. Changes to the DfE guidance have also been dealt with and communicated and there is a definite transition back to a more normal pattern of delivery with at this stage no anticipated changes or disruption to exams in the summer series.</w:t>
            </w:r>
          </w:p>
          <w:p w14:paraId="5677B1EE" w14:textId="77777777" w:rsidR="005D0D59" w:rsidRPr="006967ED" w:rsidRDefault="005D0D59" w:rsidP="00D7673B">
            <w:pPr>
              <w:spacing w:after="0" w:line="240" w:lineRule="auto"/>
              <w:rPr>
                <w:rFonts w:eastAsia="Times New Roman" w:cs="Arial"/>
                <w:bCs/>
                <w:iCs/>
                <w:sz w:val="20"/>
                <w:szCs w:val="20"/>
                <w:lang w:eastAsia="en-GB"/>
              </w:rPr>
            </w:pPr>
          </w:p>
          <w:p w14:paraId="48F1D6EB" w14:textId="77777777" w:rsidR="005D0D59" w:rsidRPr="006967ED" w:rsidRDefault="005D0D59" w:rsidP="00745B22">
            <w:pPr>
              <w:rPr>
                <w:rFonts w:eastAsia="Times New Roman" w:cs="Arial"/>
                <w:bCs/>
                <w:iCs/>
                <w:sz w:val="20"/>
                <w:szCs w:val="20"/>
                <w:lang w:eastAsia="en-GB"/>
              </w:rPr>
            </w:pPr>
            <w:r w:rsidRPr="006967ED">
              <w:rPr>
                <w:rFonts w:eastAsia="Times New Roman" w:cs="Arial"/>
                <w:bCs/>
                <w:iCs/>
                <w:sz w:val="20"/>
                <w:szCs w:val="20"/>
                <w:lang w:eastAsia="en-GB"/>
              </w:rPr>
              <w:t xml:space="preserve">The Board were advised that with the Covid restrictions and guidance in place over the Christmas period and into early January there was a slow start to learner attendance in the first weeks of term. Weekly attendance is now returning to pre-Christmas levels but remains a challenge and a major focus for curriculum teams and a risk for achievement. </w:t>
            </w:r>
          </w:p>
          <w:p w14:paraId="00CEDEF3" w14:textId="77777777" w:rsidR="005D0D59" w:rsidRPr="006967ED" w:rsidRDefault="005D0D59" w:rsidP="00745B22">
            <w:pPr>
              <w:rPr>
                <w:rFonts w:eastAsia="Times New Roman" w:cs="Arial"/>
                <w:bCs/>
                <w:iCs/>
                <w:sz w:val="20"/>
                <w:szCs w:val="20"/>
                <w:lang w:eastAsia="en-GB"/>
              </w:rPr>
            </w:pPr>
            <w:r w:rsidRPr="006967ED">
              <w:rPr>
                <w:rFonts w:eastAsia="Times New Roman" w:cs="Arial"/>
                <w:bCs/>
                <w:iCs/>
                <w:sz w:val="20"/>
                <w:szCs w:val="20"/>
                <w:lang w:eastAsia="en-GB"/>
              </w:rPr>
              <w:t>It was reported that the overall attendance percentage remains mainly impacted by low attendance in English and maths and remains under target. This is not isolated to LSEC and reflects changing patterns across the sector. Curriculum teams are working on mitigating the risk of low attendance and ensuring that learners are supported to achieve, with the mid-year learner prediction exercise identifying where there is risk and the interventions which need to be made to mitigate this.</w:t>
            </w:r>
          </w:p>
          <w:p w14:paraId="1B4BC122" w14:textId="77777777" w:rsidR="005D0D59" w:rsidRPr="006967ED" w:rsidRDefault="005D0D59" w:rsidP="00745B22">
            <w:pPr>
              <w:rPr>
                <w:rFonts w:eastAsia="Times New Roman" w:cs="Arial"/>
                <w:bCs/>
                <w:iCs/>
                <w:sz w:val="20"/>
                <w:szCs w:val="20"/>
                <w:lang w:eastAsia="en-GB"/>
              </w:rPr>
            </w:pPr>
            <w:r w:rsidRPr="006967ED">
              <w:rPr>
                <w:rFonts w:eastAsia="Times New Roman" w:cs="Arial"/>
                <w:bCs/>
                <w:iCs/>
                <w:sz w:val="20"/>
                <w:szCs w:val="20"/>
                <w:lang w:eastAsia="en-GB"/>
              </w:rPr>
              <w:t xml:space="preserve">The Board were advised that exams are progressing for vocational and FS programmes but the restrictions earlier in the year have created a bottleneck effect, which coupled with a plan to complete exams earlier as learners are ready, just in case of further Covid impact, are putting additional pressure on </w:t>
            </w:r>
            <w:r w:rsidRPr="006967ED">
              <w:rPr>
                <w:rFonts w:eastAsia="Times New Roman" w:cs="Arial"/>
                <w:bCs/>
                <w:iCs/>
                <w:sz w:val="20"/>
                <w:szCs w:val="20"/>
                <w:lang w:eastAsia="en-GB"/>
              </w:rPr>
              <w:lastRenderedPageBreak/>
              <w:t>the exams function. This is being worked through and additional resource from other areas of the College has been used to support the exams function at peak demand.</w:t>
            </w:r>
          </w:p>
          <w:p w14:paraId="443CF950" w14:textId="77777777" w:rsidR="005D0D59" w:rsidRPr="006967ED" w:rsidRDefault="005D0D59" w:rsidP="00184DD0">
            <w:pPr>
              <w:spacing w:after="0"/>
              <w:rPr>
                <w:rFonts w:eastAsia="Times New Roman" w:cs="Arial"/>
                <w:bCs/>
                <w:iCs/>
                <w:sz w:val="20"/>
                <w:szCs w:val="20"/>
                <w:lang w:eastAsia="en-GB"/>
              </w:rPr>
            </w:pPr>
            <w:r w:rsidRPr="006967ED">
              <w:rPr>
                <w:rFonts w:eastAsia="Times New Roman" w:cs="Arial"/>
                <w:bCs/>
                <w:iCs/>
                <w:sz w:val="20"/>
                <w:szCs w:val="20"/>
                <w:lang w:eastAsia="en-GB"/>
              </w:rPr>
              <w:t xml:space="preserve">The Board were provided with an update on enrolment and recruitment.  It was reported that 16-18 learner numbers are currently 3,864 against a target of 4,098. There has however been targeted activity over the December and January period and further activity planned with the current reported forecast through this additional recruitment work being 4,075. This is not without risk and depends on the planned profile of learners being recruited. There are scheduled events and stronger relationships with the local authorities to identify NEETs and tailored requirement events planned to target this potential market segment. </w:t>
            </w:r>
          </w:p>
          <w:p w14:paraId="72354DBC" w14:textId="77777777" w:rsidR="005D0D59" w:rsidRPr="006967ED" w:rsidRDefault="005D0D59" w:rsidP="004435C2">
            <w:pPr>
              <w:spacing w:after="0" w:line="240" w:lineRule="auto"/>
              <w:rPr>
                <w:rFonts w:eastAsia="Times New Roman" w:cs="Arial"/>
                <w:bCs/>
                <w:iCs/>
                <w:sz w:val="20"/>
                <w:szCs w:val="20"/>
                <w:lang w:eastAsia="en-GB"/>
              </w:rPr>
            </w:pPr>
          </w:p>
          <w:p w14:paraId="01F41B63" w14:textId="77777777" w:rsidR="005D0D59" w:rsidRPr="006967ED" w:rsidRDefault="005D0D59" w:rsidP="00745B22">
            <w:pPr>
              <w:rPr>
                <w:rFonts w:eastAsia="Times New Roman" w:cs="Arial"/>
                <w:bCs/>
                <w:iCs/>
                <w:sz w:val="20"/>
                <w:szCs w:val="20"/>
                <w:lang w:eastAsia="en-GB"/>
              </w:rPr>
            </w:pPr>
            <w:r w:rsidRPr="006967ED">
              <w:rPr>
                <w:rFonts w:eastAsia="Times New Roman" w:cs="Arial"/>
                <w:bCs/>
                <w:iCs/>
                <w:sz w:val="20"/>
                <w:szCs w:val="20"/>
                <w:lang w:eastAsia="en-GB"/>
              </w:rPr>
              <w:t>It was reported that the ESFA allocation tool kit for 2022/23 had been released and is currently being worked through to understand any impact of funding allocations and values for next year.</w:t>
            </w:r>
          </w:p>
          <w:p w14:paraId="0CCB62A2" w14:textId="77777777" w:rsidR="005D0D59" w:rsidRPr="006967ED" w:rsidRDefault="005D0D59" w:rsidP="00745B22">
            <w:pPr>
              <w:rPr>
                <w:rFonts w:eastAsia="Times New Roman" w:cs="Arial"/>
                <w:bCs/>
                <w:iCs/>
                <w:sz w:val="20"/>
                <w:szCs w:val="20"/>
                <w:lang w:eastAsia="en-GB"/>
              </w:rPr>
            </w:pPr>
            <w:r w:rsidRPr="006967ED">
              <w:rPr>
                <w:rFonts w:eastAsia="Times New Roman" w:cs="Arial"/>
                <w:bCs/>
                <w:iCs/>
                <w:sz w:val="20"/>
                <w:szCs w:val="20"/>
                <w:lang w:eastAsia="en-GB"/>
              </w:rPr>
              <w:t>The Board were advised that there are extensive plans in place to grow and develop the National Skills fund offer. Whilst these projects are in development, the current reported forecasting is that the final position against this important and high-profile funding pot will be that we get to £495k of the £510k target with the course provision making a 46% contribution. However, with little income to date this remains an area of risk. The College is working with Pearl on the development on an online delivery covering a suite of care-based courses, Understanding Mental Health, End of Life Care and Understanding Autism in order to tap into this growing care sector market and maximise the National Skills Fund offer.</w:t>
            </w:r>
          </w:p>
          <w:p w14:paraId="7193A722" w14:textId="77777777" w:rsidR="005D0D59" w:rsidRPr="006967ED" w:rsidRDefault="005D0D59" w:rsidP="00745B22">
            <w:pPr>
              <w:rPr>
                <w:rFonts w:eastAsia="Times New Roman" w:cs="Arial"/>
                <w:bCs/>
                <w:iCs/>
                <w:sz w:val="20"/>
                <w:szCs w:val="20"/>
                <w:lang w:eastAsia="en-GB"/>
              </w:rPr>
            </w:pPr>
            <w:r w:rsidRPr="006967ED">
              <w:rPr>
                <w:rFonts w:eastAsia="Times New Roman" w:cs="Arial"/>
                <w:bCs/>
                <w:iCs/>
                <w:sz w:val="20"/>
                <w:szCs w:val="20"/>
                <w:lang w:eastAsia="en-GB"/>
              </w:rPr>
              <w:t>It was reported that AEB remains a challenging market and there are a number of work streams to ensure that AEB income is generated and moves towards target. This is including additionality for existing learners, maximising ALS support and income for existing learners as well as the recruitment of new learners. With all the work going on the currently reported forecast is a shortfall of circa £250k and the AEB income stream remains the greatest risk with a significant amount of recruitment and income to be generated in the second part of the year.</w:t>
            </w:r>
          </w:p>
          <w:p w14:paraId="487FC2B8" w14:textId="77777777" w:rsidR="005D0D59" w:rsidRPr="006967ED" w:rsidRDefault="005D0D59" w:rsidP="00307118">
            <w:pPr>
              <w:rPr>
                <w:rFonts w:eastAsia="Times New Roman" w:cs="Arial"/>
                <w:bCs/>
                <w:iCs/>
                <w:sz w:val="20"/>
                <w:szCs w:val="20"/>
                <w:lang w:eastAsia="en-GB"/>
              </w:rPr>
            </w:pPr>
            <w:r w:rsidRPr="006967ED">
              <w:rPr>
                <w:rFonts w:eastAsia="Times New Roman" w:cs="Arial"/>
                <w:bCs/>
                <w:iCs/>
                <w:sz w:val="20"/>
                <w:szCs w:val="20"/>
                <w:lang w:eastAsia="en-GB"/>
              </w:rPr>
              <w:t>The Board were advised that there remains a general level of risk around recruitment and income targets for all income streams as these are recruitment dependant but there is a strong level of planning and detail underpinning the funding forecast feeding into this process.</w:t>
            </w:r>
          </w:p>
          <w:p w14:paraId="685DF5D1" w14:textId="77777777" w:rsidR="005D0D59" w:rsidRPr="006967ED" w:rsidRDefault="005D0D59" w:rsidP="00745B22">
            <w:pPr>
              <w:rPr>
                <w:rFonts w:eastAsia="Times New Roman" w:cs="Arial"/>
                <w:bCs/>
                <w:iCs/>
                <w:sz w:val="20"/>
                <w:szCs w:val="20"/>
                <w:lang w:eastAsia="en-GB"/>
              </w:rPr>
            </w:pPr>
            <w:r w:rsidRPr="006967ED">
              <w:rPr>
                <w:rFonts w:eastAsia="Times New Roman" w:cs="Arial"/>
                <w:bCs/>
                <w:iCs/>
                <w:sz w:val="20"/>
                <w:szCs w:val="20"/>
                <w:lang w:eastAsia="en-GB"/>
              </w:rPr>
              <w:t xml:space="preserve">The Board received a Financial Update on recruitment, which was down </w:t>
            </w:r>
            <w:proofErr w:type="gramStart"/>
            <w:r w:rsidRPr="006967ED">
              <w:rPr>
                <w:rFonts w:eastAsia="Times New Roman" w:cs="Arial"/>
                <w:bCs/>
                <w:iCs/>
                <w:sz w:val="20"/>
                <w:szCs w:val="20"/>
                <w:lang w:eastAsia="en-GB"/>
              </w:rPr>
              <w:t>against  some</w:t>
            </w:r>
            <w:proofErr w:type="gramEnd"/>
            <w:r w:rsidRPr="006967ED">
              <w:rPr>
                <w:rFonts w:eastAsia="Times New Roman" w:cs="Arial"/>
                <w:bCs/>
                <w:iCs/>
                <w:sz w:val="20"/>
                <w:szCs w:val="20"/>
                <w:lang w:eastAsia="en-GB"/>
              </w:rPr>
              <w:t xml:space="preserve"> of its key income streams this year and work was ongoing to try to recover the income position where possible to do so. It was reported that there had been some unbudgeted upsides to income which are helping to mitigate the risks of meeting a number of income targets. At the current time, it is still anticipated that the College can at least achieve its budgeted operating position for the year, and this is being monitored closely. The greatest area of risk currently relates to achievement of our Adult Education Budget income targets, with a significant amount of income still to be generated. </w:t>
            </w:r>
          </w:p>
          <w:p w14:paraId="2CAFBE0E" w14:textId="6239094D" w:rsidR="005D0D59" w:rsidRPr="006967ED" w:rsidRDefault="005D0D59" w:rsidP="00172D21">
            <w:pPr>
              <w:rPr>
                <w:rFonts w:eastAsia="Times New Roman" w:cs="Arial"/>
                <w:bCs/>
                <w:iCs/>
                <w:sz w:val="20"/>
                <w:szCs w:val="20"/>
                <w:lang w:eastAsia="en-GB"/>
              </w:rPr>
            </w:pPr>
            <w:r w:rsidRPr="006967ED">
              <w:rPr>
                <w:rFonts w:eastAsia="Times New Roman" w:cs="Arial"/>
                <w:bCs/>
                <w:iCs/>
                <w:sz w:val="20"/>
                <w:szCs w:val="20"/>
                <w:lang w:eastAsia="en-GB"/>
              </w:rPr>
              <w:t xml:space="preserve">With recruitment levels in the current year, it is likely that the College will have a much tougher financial year in 2022/23.  We await details of our 2022/23 funding allocations which will allow us to model the potential impact on next year. </w:t>
            </w:r>
          </w:p>
          <w:p w14:paraId="6D1ADCF9" w14:textId="77777777" w:rsidR="005D0D59" w:rsidRPr="006967ED" w:rsidRDefault="005D0D59" w:rsidP="00CC7B08">
            <w:pPr>
              <w:spacing w:after="0" w:line="240" w:lineRule="auto"/>
              <w:rPr>
                <w:rFonts w:eastAsia="Times New Roman" w:cs="Arial"/>
                <w:bCs/>
                <w:iCs/>
                <w:sz w:val="20"/>
                <w:szCs w:val="20"/>
                <w:lang w:eastAsia="en-GB"/>
              </w:rPr>
            </w:pPr>
            <w:r w:rsidRPr="006967ED">
              <w:rPr>
                <w:rFonts w:eastAsia="Times New Roman" w:cs="Arial"/>
                <w:bCs/>
                <w:iCs/>
                <w:sz w:val="20"/>
                <w:szCs w:val="20"/>
                <w:lang w:eastAsia="en-GB"/>
              </w:rPr>
              <w:t>The Board receive an update on Capital Projects as follows</w:t>
            </w:r>
          </w:p>
          <w:p w14:paraId="3A9C3E02" w14:textId="77777777" w:rsidR="005D0D59" w:rsidRPr="006967ED" w:rsidRDefault="005D0D59" w:rsidP="00CC7B08">
            <w:pPr>
              <w:spacing w:after="0" w:line="240" w:lineRule="auto"/>
              <w:rPr>
                <w:rFonts w:eastAsia="Times New Roman" w:cs="Arial"/>
                <w:bCs/>
                <w:iCs/>
                <w:sz w:val="20"/>
                <w:szCs w:val="20"/>
                <w:lang w:eastAsia="en-GB"/>
              </w:rPr>
            </w:pPr>
          </w:p>
          <w:p w14:paraId="1703AED1" w14:textId="77777777" w:rsidR="005D0D59" w:rsidRPr="00CB572C" w:rsidRDefault="005D0D59" w:rsidP="00CC7B08">
            <w:pPr>
              <w:spacing w:after="0" w:line="240" w:lineRule="auto"/>
              <w:rPr>
                <w:rFonts w:eastAsia="Times New Roman" w:cs="Arial"/>
                <w:b/>
                <w:iCs/>
                <w:sz w:val="20"/>
                <w:szCs w:val="20"/>
                <w:lang w:eastAsia="en-GB"/>
              </w:rPr>
            </w:pPr>
            <w:r w:rsidRPr="00CB572C">
              <w:rPr>
                <w:rFonts w:eastAsia="Times New Roman" w:cs="Arial"/>
                <w:b/>
                <w:iCs/>
                <w:sz w:val="20"/>
                <w:szCs w:val="20"/>
                <w:lang w:eastAsia="en-GB"/>
              </w:rPr>
              <w:t>Plumstead</w:t>
            </w:r>
          </w:p>
          <w:p w14:paraId="03564479" w14:textId="77777777" w:rsidR="005D0D59" w:rsidRPr="006967ED" w:rsidRDefault="005D0D59" w:rsidP="00745B22">
            <w:pPr>
              <w:rPr>
                <w:rFonts w:cs="Arial"/>
                <w:bCs/>
                <w:sz w:val="20"/>
                <w:szCs w:val="20"/>
              </w:rPr>
            </w:pPr>
            <w:r w:rsidRPr="006967ED">
              <w:rPr>
                <w:rFonts w:cs="Arial"/>
                <w:bCs/>
                <w:color w:val="000000"/>
                <w:sz w:val="20"/>
                <w:szCs w:val="20"/>
              </w:rPr>
              <w:t xml:space="preserve">Work towards the L&amp;Q contract becoming fully unconditional following is progressing, following the successful July 21 planning committee approval. There have been some delays to finalising the Section 106 agreement although the requirements are not onerous.  It is now anticipated that by May 22, the contract will be unconditional, meaning payments and land transaction become finalised, and our design and procurement processes can recommence. L&amp;Q will begin demolition over summer 2022, clearing the way for our building works for the new college to commence in early 2023, targeting a Sept 2025 opening/completion. There are still a number of other matters to resolve to take the project forwards and </w:t>
            </w:r>
            <w:r w:rsidRPr="006967ED">
              <w:rPr>
                <w:rFonts w:cs="Arial"/>
                <w:bCs/>
                <w:color w:val="000000"/>
                <w:sz w:val="20"/>
                <w:szCs w:val="20"/>
              </w:rPr>
              <w:lastRenderedPageBreak/>
              <w:t>these are actively being worked through. Although progress is slow, it is not currently envisaged that this will impact on our programme.</w:t>
            </w:r>
          </w:p>
          <w:p w14:paraId="1F8D8072" w14:textId="77777777" w:rsidR="005D0D59" w:rsidRPr="00CB572C" w:rsidRDefault="005D0D59" w:rsidP="007F5DBE">
            <w:pPr>
              <w:spacing w:after="0" w:line="240" w:lineRule="auto"/>
              <w:rPr>
                <w:rFonts w:eastAsia="Times New Roman" w:cs="Arial"/>
                <w:b/>
                <w:iCs/>
                <w:sz w:val="20"/>
                <w:szCs w:val="20"/>
                <w:lang w:eastAsia="en-GB"/>
              </w:rPr>
            </w:pPr>
            <w:r w:rsidRPr="00CB572C">
              <w:rPr>
                <w:rFonts w:eastAsia="Times New Roman" w:cs="Arial"/>
                <w:b/>
                <w:iCs/>
                <w:sz w:val="20"/>
                <w:szCs w:val="20"/>
                <w:lang w:eastAsia="en-GB"/>
              </w:rPr>
              <w:t>Bromley</w:t>
            </w:r>
          </w:p>
          <w:p w14:paraId="12854885" w14:textId="77777777" w:rsidR="005D0D59" w:rsidRPr="006967ED" w:rsidRDefault="005D0D59" w:rsidP="00745B22">
            <w:pPr>
              <w:rPr>
                <w:rFonts w:cs="Arial"/>
                <w:bCs/>
                <w:sz w:val="20"/>
                <w:szCs w:val="20"/>
              </w:rPr>
            </w:pPr>
            <w:r w:rsidRPr="006967ED">
              <w:rPr>
                <w:rFonts w:cs="Arial"/>
                <w:bCs/>
                <w:color w:val="000000"/>
                <w:sz w:val="20"/>
                <w:szCs w:val="20"/>
              </w:rPr>
              <w:t>Aligned to our Estates strategy, a campus masterplan for the site has been developed in conjunction with curriculum colleagues. A range of projects from the masterplan are being advanced through to planning, to create more ‘oven ready’ opportunities and de-risk potential projects that can be put forward for future capital bid rounds. Two major projects are part of the DfE transformation bids currently awaited (i) Refurbishment of 50% of the original main block and (ii) Aerospace and Green Technologies extension to the Technology block. It was reported that the outcome is expected in March.</w:t>
            </w:r>
          </w:p>
          <w:p w14:paraId="162088B4" w14:textId="77777777" w:rsidR="00CB572C" w:rsidRDefault="005D0D59" w:rsidP="00CB572C">
            <w:pPr>
              <w:spacing w:after="0" w:line="240" w:lineRule="auto"/>
              <w:rPr>
                <w:rFonts w:eastAsia="Times New Roman" w:cs="Arial"/>
                <w:bCs/>
                <w:iCs/>
                <w:sz w:val="20"/>
                <w:szCs w:val="20"/>
                <w:lang w:eastAsia="en-GB"/>
              </w:rPr>
            </w:pPr>
            <w:r w:rsidRPr="006967ED">
              <w:rPr>
                <w:rFonts w:eastAsia="Times New Roman" w:cs="Arial"/>
                <w:bCs/>
                <w:iCs/>
                <w:sz w:val="20"/>
                <w:szCs w:val="20"/>
                <w:lang w:eastAsia="en-GB"/>
              </w:rPr>
              <w:t xml:space="preserve">The Board received an update on </w:t>
            </w:r>
            <w:r w:rsidRPr="00CB572C">
              <w:rPr>
                <w:rFonts w:eastAsia="Times New Roman" w:cs="Arial"/>
                <w:b/>
                <w:iCs/>
                <w:sz w:val="20"/>
                <w:szCs w:val="20"/>
                <w:lang w:eastAsia="en-GB"/>
              </w:rPr>
              <w:t>Stakeholder Engagement</w:t>
            </w:r>
            <w:r w:rsidRPr="006967ED">
              <w:rPr>
                <w:rFonts w:eastAsia="Times New Roman" w:cs="Arial"/>
                <w:bCs/>
                <w:iCs/>
                <w:sz w:val="20"/>
                <w:szCs w:val="20"/>
                <w:lang w:eastAsia="en-GB"/>
              </w:rPr>
              <w:t xml:space="preserve"> </w:t>
            </w:r>
          </w:p>
          <w:p w14:paraId="39A1E858" w14:textId="77777777" w:rsidR="00CB572C" w:rsidRDefault="00CB572C" w:rsidP="00CB572C">
            <w:pPr>
              <w:spacing w:after="0" w:line="240" w:lineRule="auto"/>
              <w:rPr>
                <w:rFonts w:eastAsia="Times New Roman" w:cs="Arial"/>
                <w:bCs/>
                <w:iCs/>
                <w:sz w:val="20"/>
                <w:szCs w:val="20"/>
                <w:lang w:eastAsia="en-GB"/>
              </w:rPr>
            </w:pPr>
          </w:p>
          <w:p w14:paraId="0728370B" w14:textId="79291F47" w:rsidR="005D0D59" w:rsidRPr="00CB572C" w:rsidRDefault="005D0D59" w:rsidP="00CB572C">
            <w:pPr>
              <w:spacing w:after="0" w:line="240" w:lineRule="auto"/>
              <w:rPr>
                <w:rFonts w:eastAsia="Times New Roman" w:cs="Arial"/>
                <w:bCs/>
                <w:iCs/>
                <w:sz w:val="20"/>
                <w:szCs w:val="20"/>
                <w:lang w:eastAsia="en-GB"/>
              </w:rPr>
            </w:pPr>
            <w:r w:rsidRPr="006967ED">
              <w:rPr>
                <w:rFonts w:eastAsia="Arial" w:cs="Arial"/>
                <w:bCs/>
                <w:color w:val="000000" w:themeColor="text1"/>
                <w:sz w:val="20"/>
                <w:szCs w:val="20"/>
              </w:rPr>
              <w:t xml:space="preserve">It was reported that following on from a successful festive #FEFoodbankFriday campaign in December 2021, London South East Colleges has continued to work with founding Colleges East Coast College and Loughborough College to drive the #GoodforMEGoodforFE national campaign forwards. </w:t>
            </w:r>
          </w:p>
          <w:p w14:paraId="2CD45812" w14:textId="77777777" w:rsidR="005D0D59" w:rsidRPr="006967ED" w:rsidRDefault="005D0D59" w:rsidP="00745B22">
            <w:pPr>
              <w:rPr>
                <w:rFonts w:eastAsia="Arial" w:cs="Arial"/>
                <w:bCs/>
                <w:color w:val="000000" w:themeColor="text1"/>
                <w:sz w:val="20"/>
                <w:szCs w:val="20"/>
              </w:rPr>
            </w:pPr>
            <w:r w:rsidRPr="006967ED">
              <w:rPr>
                <w:rFonts w:eastAsia="Arial" w:cs="Arial"/>
                <w:bCs/>
                <w:color w:val="000000" w:themeColor="text1"/>
                <w:sz w:val="20"/>
                <w:szCs w:val="20"/>
              </w:rPr>
              <w:t>The Board were advised that ‘GoodforME GoodforFE’ continues to build on the premise of Colleges acting as Anchor Institutions, driving community wealth building practice locally through creating a sustainable social and community action campaign for the whole of the FE sector. Its main aims are to:</w:t>
            </w:r>
          </w:p>
          <w:p w14:paraId="6943716B" w14:textId="77777777" w:rsidR="005D0D59" w:rsidRPr="006967ED" w:rsidRDefault="005D0D59" w:rsidP="00745B22">
            <w:pPr>
              <w:pStyle w:val="ListParagraph"/>
              <w:numPr>
                <w:ilvl w:val="0"/>
                <w:numId w:val="15"/>
              </w:numPr>
              <w:spacing w:after="160" w:line="259" w:lineRule="auto"/>
              <w:rPr>
                <w:rFonts w:eastAsia="Arial" w:cs="Arial"/>
                <w:bCs/>
                <w:color w:val="000000" w:themeColor="text1"/>
                <w:sz w:val="20"/>
                <w:szCs w:val="20"/>
              </w:rPr>
            </w:pPr>
            <w:r w:rsidRPr="006967ED">
              <w:rPr>
                <w:rFonts w:eastAsia="Arial" w:cs="Arial"/>
                <w:bCs/>
                <w:color w:val="000000" w:themeColor="text1"/>
                <w:sz w:val="20"/>
                <w:szCs w:val="20"/>
              </w:rPr>
              <w:t>Continue the community benefits of volunteering created through the pandemic</w:t>
            </w:r>
          </w:p>
          <w:p w14:paraId="5B630FA1" w14:textId="77777777" w:rsidR="005D0D59" w:rsidRPr="006967ED" w:rsidRDefault="005D0D59" w:rsidP="00745B22">
            <w:pPr>
              <w:pStyle w:val="ListParagraph"/>
              <w:numPr>
                <w:ilvl w:val="0"/>
                <w:numId w:val="15"/>
              </w:numPr>
              <w:spacing w:after="160" w:line="259" w:lineRule="auto"/>
              <w:rPr>
                <w:rFonts w:eastAsia="Arial" w:cs="Arial"/>
                <w:bCs/>
                <w:color w:val="000000" w:themeColor="text1"/>
                <w:sz w:val="20"/>
                <w:szCs w:val="20"/>
              </w:rPr>
            </w:pPr>
            <w:r w:rsidRPr="006967ED">
              <w:rPr>
                <w:rFonts w:eastAsia="Arial" w:cs="Arial"/>
                <w:bCs/>
                <w:color w:val="000000" w:themeColor="text1"/>
                <w:sz w:val="20"/>
                <w:szCs w:val="20"/>
              </w:rPr>
              <w:t>Continue to develop foodbank collections for the UKs most vulnerable areas</w:t>
            </w:r>
          </w:p>
          <w:p w14:paraId="025B73B3" w14:textId="77777777" w:rsidR="005D0D59" w:rsidRPr="006967ED" w:rsidRDefault="005D0D59" w:rsidP="00745B22">
            <w:pPr>
              <w:pStyle w:val="ListParagraph"/>
              <w:numPr>
                <w:ilvl w:val="0"/>
                <w:numId w:val="15"/>
              </w:numPr>
              <w:spacing w:after="160" w:line="259" w:lineRule="auto"/>
              <w:rPr>
                <w:rFonts w:eastAsia="Arial" w:cs="Arial"/>
                <w:bCs/>
                <w:color w:val="000000" w:themeColor="text1"/>
                <w:sz w:val="20"/>
                <w:szCs w:val="20"/>
              </w:rPr>
            </w:pPr>
            <w:r w:rsidRPr="006967ED">
              <w:rPr>
                <w:rFonts w:eastAsia="Arial" w:cs="Arial"/>
                <w:bCs/>
                <w:color w:val="000000" w:themeColor="text1"/>
                <w:sz w:val="20"/>
                <w:szCs w:val="20"/>
              </w:rPr>
              <w:t xml:space="preserve">Grow a partnership network to develop further opportunities across the UK. </w:t>
            </w:r>
          </w:p>
          <w:p w14:paraId="09725633" w14:textId="77777777" w:rsidR="005D0D59" w:rsidRPr="006967ED" w:rsidRDefault="005D0D59" w:rsidP="00745B22">
            <w:pPr>
              <w:rPr>
                <w:rFonts w:eastAsia="Arial" w:cs="Arial"/>
                <w:bCs/>
                <w:color w:val="000000" w:themeColor="text1"/>
                <w:sz w:val="20"/>
                <w:szCs w:val="20"/>
              </w:rPr>
            </w:pPr>
            <w:r w:rsidRPr="006967ED">
              <w:rPr>
                <w:rFonts w:eastAsia="Arial" w:cs="Arial"/>
                <w:bCs/>
                <w:color w:val="000000" w:themeColor="text1"/>
                <w:sz w:val="20"/>
                <w:szCs w:val="20"/>
              </w:rPr>
              <w:t xml:space="preserve">It was reported that the campaign now has 138 Colleges signed up, which represents over 50% of the FE sector choosing to support the campaign. Progress and impact are articulated in the following ways: </w:t>
            </w:r>
          </w:p>
          <w:p w14:paraId="0261908A" w14:textId="77777777" w:rsidR="005D0D59" w:rsidRPr="006967ED" w:rsidRDefault="005D0D59" w:rsidP="00745B22">
            <w:pPr>
              <w:pStyle w:val="ListParagraph"/>
              <w:numPr>
                <w:ilvl w:val="0"/>
                <w:numId w:val="14"/>
              </w:numPr>
              <w:spacing w:after="160" w:line="259" w:lineRule="auto"/>
              <w:rPr>
                <w:rFonts w:eastAsia="Arial" w:cs="Arial"/>
                <w:bCs/>
                <w:color w:val="000000" w:themeColor="text1"/>
                <w:sz w:val="20"/>
                <w:szCs w:val="20"/>
              </w:rPr>
            </w:pPr>
            <w:r w:rsidRPr="006967ED">
              <w:rPr>
                <w:rFonts w:eastAsia="Arial" w:cs="Arial"/>
                <w:bCs/>
                <w:color w:val="000000" w:themeColor="text1"/>
                <w:sz w:val="20"/>
                <w:szCs w:val="20"/>
              </w:rPr>
              <w:t xml:space="preserve"> £640k of social value has been generated</w:t>
            </w:r>
          </w:p>
          <w:p w14:paraId="73F2B677" w14:textId="77777777" w:rsidR="005D0D59" w:rsidRPr="006967ED" w:rsidRDefault="005D0D59" w:rsidP="00745B22">
            <w:pPr>
              <w:pStyle w:val="ListParagraph"/>
              <w:numPr>
                <w:ilvl w:val="0"/>
                <w:numId w:val="14"/>
              </w:numPr>
              <w:spacing w:after="160" w:line="259" w:lineRule="auto"/>
              <w:rPr>
                <w:rFonts w:eastAsia="Arial" w:cs="Arial"/>
                <w:bCs/>
                <w:color w:val="000000" w:themeColor="text1"/>
                <w:sz w:val="20"/>
                <w:szCs w:val="20"/>
              </w:rPr>
            </w:pPr>
            <w:r w:rsidRPr="006967ED">
              <w:rPr>
                <w:rFonts w:eastAsia="Arial" w:cs="Arial"/>
                <w:bCs/>
                <w:color w:val="000000" w:themeColor="text1"/>
                <w:sz w:val="20"/>
                <w:szCs w:val="20"/>
              </w:rPr>
              <w:t>32,759 volunteering hours have been delivered</w:t>
            </w:r>
          </w:p>
          <w:p w14:paraId="414EFAF5" w14:textId="77777777" w:rsidR="005D0D59" w:rsidRPr="006967ED" w:rsidRDefault="005D0D59" w:rsidP="00745B22">
            <w:pPr>
              <w:pStyle w:val="ListParagraph"/>
              <w:numPr>
                <w:ilvl w:val="0"/>
                <w:numId w:val="14"/>
              </w:numPr>
              <w:spacing w:after="160" w:line="259" w:lineRule="auto"/>
              <w:rPr>
                <w:rFonts w:eastAsia="Arial" w:cs="Arial"/>
                <w:bCs/>
                <w:color w:val="000000" w:themeColor="text1"/>
                <w:sz w:val="20"/>
                <w:szCs w:val="20"/>
              </w:rPr>
            </w:pPr>
            <w:r w:rsidRPr="006967ED">
              <w:rPr>
                <w:rFonts w:eastAsia="Arial" w:cs="Arial"/>
                <w:bCs/>
                <w:color w:val="000000" w:themeColor="text1"/>
                <w:sz w:val="20"/>
                <w:szCs w:val="20"/>
              </w:rPr>
              <w:t>51,000 food items have been donated</w:t>
            </w:r>
          </w:p>
          <w:p w14:paraId="0DFE591B" w14:textId="77777777" w:rsidR="005D0D59" w:rsidRPr="006967ED" w:rsidRDefault="005D0D59" w:rsidP="00745B22">
            <w:pPr>
              <w:pStyle w:val="ListParagraph"/>
              <w:numPr>
                <w:ilvl w:val="0"/>
                <w:numId w:val="14"/>
              </w:numPr>
              <w:spacing w:after="160" w:line="259" w:lineRule="auto"/>
              <w:rPr>
                <w:rFonts w:cs="Arial"/>
                <w:bCs/>
                <w:color w:val="000000" w:themeColor="text1"/>
                <w:sz w:val="20"/>
                <w:szCs w:val="20"/>
              </w:rPr>
            </w:pPr>
            <w:r w:rsidRPr="006967ED">
              <w:rPr>
                <w:rFonts w:eastAsia="Arial" w:cs="Arial"/>
                <w:bCs/>
                <w:color w:val="000000" w:themeColor="text1"/>
                <w:sz w:val="20"/>
                <w:szCs w:val="20"/>
              </w:rPr>
              <w:t xml:space="preserve"> £55,141 has been generated through fundraising</w:t>
            </w:r>
          </w:p>
          <w:p w14:paraId="71AD1AF3" w14:textId="77777777" w:rsidR="005D0D59" w:rsidRPr="006967ED" w:rsidRDefault="005D0D59" w:rsidP="00745B22">
            <w:pPr>
              <w:rPr>
                <w:rFonts w:eastAsia="Arial" w:cs="Arial"/>
                <w:bCs/>
                <w:color w:val="000000" w:themeColor="text1"/>
                <w:sz w:val="20"/>
                <w:szCs w:val="20"/>
              </w:rPr>
            </w:pPr>
            <w:r w:rsidRPr="006967ED">
              <w:rPr>
                <w:rFonts w:eastAsia="Arial" w:cs="Arial"/>
                <w:bCs/>
                <w:color w:val="000000" w:themeColor="text1"/>
                <w:sz w:val="20"/>
                <w:szCs w:val="20"/>
              </w:rPr>
              <w:t>As the campaign grows and support continues to develop, we anticipate that we will meet our £1M goal for social value by the end of the academic year. Over the following months the campaign will see:</w:t>
            </w:r>
          </w:p>
          <w:p w14:paraId="18EFDAAF" w14:textId="77777777" w:rsidR="005D0D59" w:rsidRPr="006967ED" w:rsidRDefault="005D0D59" w:rsidP="00745B22">
            <w:pPr>
              <w:pStyle w:val="ListParagraph"/>
              <w:numPr>
                <w:ilvl w:val="0"/>
                <w:numId w:val="13"/>
              </w:numPr>
              <w:spacing w:after="160" w:line="259" w:lineRule="auto"/>
              <w:rPr>
                <w:rFonts w:eastAsia="Arial" w:cs="Arial"/>
                <w:bCs/>
                <w:color w:val="000000" w:themeColor="text1"/>
                <w:sz w:val="20"/>
                <w:szCs w:val="20"/>
              </w:rPr>
            </w:pPr>
            <w:r w:rsidRPr="006967ED">
              <w:rPr>
                <w:rFonts w:eastAsia="Arial" w:cs="Arial"/>
                <w:bCs/>
                <w:color w:val="000000" w:themeColor="text1"/>
                <w:sz w:val="20"/>
                <w:szCs w:val="20"/>
              </w:rPr>
              <w:t>A national GoodforME GoodforFE website built and published</w:t>
            </w:r>
          </w:p>
          <w:p w14:paraId="44A52F89" w14:textId="77777777" w:rsidR="005D0D59" w:rsidRPr="006967ED" w:rsidRDefault="005D0D59" w:rsidP="00745B22">
            <w:pPr>
              <w:pStyle w:val="ListParagraph"/>
              <w:numPr>
                <w:ilvl w:val="0"/>
                <w:numId w:val="13"/>
              </w:numPr>
              <w:spacing w:after="160" w:line="259" w:lineRule="auto"/>
              <w:rPr>
                <w:rFonts w:eastAsia="Arial" w:cs="Arial"/>
                <w:bCs/>
                <w:color w:val="000000" w:themeColor="text1"/>
                <w:sz w:val="20"/>
                <w:szCs w:val="20"/>
              </w:rPr>
            </w:pPr>
            <w:r w:rsidRPr="006967ED">
              <w:rPr>
                <w:rFonts w:eastAsia="Arial" w:cs="Arial"/>
                <w:bCs/>
                <w:color w:val="000000" w:themeColor="text1"/>
                <w:sz w:val="20"/>
                <w:szCs w:val="20"/>
              </w:rPr>
              <w:t>The publishing of a monthly spread in FE</w:t>
            </w:r>
            <w:r>
              <w:rPr>
                <w:rFonts w:eastAsia="Arial" w:cs="Arial"/>
                <w:bCs/>
                <w:color w:val="000000" w:themeColor="text1"/>
                <w:sz w:val="20"/>
                <w:szCs w:val="20"/>
              </w:rPr>
              <w:t xml:space="preserve"> </w:t>
            </w:r>
            <w:r w:rsidRPr="006967ED">
              <w:rPr>
                <w:rFonts w:eastAsia="Arial" w:cs="Arial"/>
                <w:bCs/>
                <w:color w:val="000000" w:themeColor="text1"/>
                <w:sz w:val="20"/>
                <w:szCs w:val="20"/>
              </w:rPr>
              <w:t>Week promoting partner college case studies</w:t>
            </w:r>
          </w:p>
          <w:p w14:paraId="101D6AF2" w14:textId="77777777" w:rsidR="005D0D59" w:rsidRPr="006967ED" w:rsidRDefault="005D0D59" w:rsidP="00745B22">
            <w:pPr>
              <w:pStyle w:val="ListParagraph"/>
              <w:numPr>
                <w:ilvl w:val="0"/>
                <w:numId w:val="13"/>
              </w:numPr>
              <w:spacing w:after="160" w:line="259" w:lineRule="auto"/>
              <w:rPr>
                <w:rFonts w:cs="Arial"/>
                <w:bCs/>
                <w:color w:val="000000" w:themeColor="text1"/>
                <w:sz w:val="20"/>
                <w:szCs w:val="20"/>
              </w:rPr>
            </w:pPr>
            <w:r w:rsidRPr="006967ED">
              <w:rPr>
                <w:rFonts w:eastAsia="Arial" w:cs="Arial"/>
                <w:bCs/>
                <w:color w:val="000000" w:themeColor="text1"/>
                <w:sz w:val="20"/>
                <w:szCs w:val="20"/>
              </w:rPr>
              <w:t>More colleges and partners engaged</w:t>
            </w:r>
          </w:p>
          <w:p w14:paraId="539C8707" w14:textId="77777777" w:rsidR="005D0D59" w:rsidRPr="006967ED" w:rsidRDefault="005D0D59" w:rsidP="00745B22">
            <w:pPr>
              <w:pStyle w:val="ListParagraph"/>
              <w:numPr>
                <w:ilvl w:val="0"/>
                <w:numId w:val="13"/>
              </w:numPr>
              <w:spacing w:after="160" w:line="259" w:lineRule="auto"/>
              <w:rPr>
                <w:rFonts w:cs="Arial"/>
                <w:bCs/>
                <w:color w:val="000000" w:themeColor="text1"/>
                <w:sz w:val="20"/>
                <w:szCs w:val="20"/>
              </w:rPr>
            </w:pPr>
            <w:r w:rsidRPr="006967ED">
              <w:rPr>
                <w:rFonts w:eastAsia="Arial" w:cs="Arial"/>
                <w:bCs/>
                <w:color w:val="000000" w:themeColor="text1"/>
                <w:sz w:val="20"/>
                <w:szCs w:val="20"/>
              </w:rPr>
              <w:t>Alignment to other national awareness days:</w:t>
            </w:r>
            <w:r w:rsidRPr="006967ED">
              <w:rPr>
                <w:rFonts w:cs="Arial"/>
                <w:bCs/>
                <w:sz w:val="20"/>
                <w:szCs w:val="20"/>
              </w:rPr>
              <w:tab/>
            </w:r>
          </w:p>
          <w:p w14:paraId="36F4EB77" w14:textId="77777777" w:rsidR="005D0D59" w:rsidRPr="006967ED" w:rsidRDefault="005D0D59" w:rsidP="00CE1268">
            <w:pPr>
              <w:pStyle w:val="ListParagraph"/>
              <w:numPr>
                <w:ilvl w:val="0"/>
                <w:numId w:val="13"/>
              </w:numPr>
              <w:spacing w:after="160" w:line="259" w:lineRule="auto"/>
              <w:rPr>
                <w:rFonts w:eastAsiaTheme="minorEastAsia" w:cs="Arial"/>
                <w:bCs/>
                <w:color w:val="000000" w:themeColor="text1"/>
                <w:sz w:val="20"/>
                <w:szCs w:val="20"/>
              </w:rPr>
            </w:pPr>
            <w:r w:rsidRPr="006967ED">
              <w:rPr>
                <w:rFonts w:eastAsia="Arial" w:cs="Arial"/>
                <w:bCs/>
                <w:color w:val="000000" w:themeColor="text1"/>
                <w:sz w:val="20"/>
                <w:szCs w:val="20"/>
              </w:rPr>
              <w:t>The development of a sustainability strategy for the campaign to enable the continuation of the collaboration network which has become a real strength of the campaign.</w:t>
            </w:r>
          </w:p>
          <w:p w14:paraId="6CF9F87D" w14:textId="77777777" w:rsidR="005D0D59" w:rsidRPr="00CB572C" w:rsidRDefault="005D0D59" w:rsidP="00745B22">
            <w:pPr>
              <w:tabs>
                <w:tab w:val="left" w:pos="720"/>
              </w:tabs>
              <w:rPr>
                <w:rFonts w:eastAsia="Arial" w:cs="Arial"/>
                <w:b/>
                <w:color w:val="000000" w:themeColor="text1"/>
                <w:sz w:val="20"/>
                <w:szCs w:val="20"/>
              </w:rPr>
            </w:pPr>
            <w:r w:rsidRPr="00CB572C">
              <w:rPr>
                <w:rFonts w:eastAsia="Arial" w:cs="Arial"/>
                <w:b/>
                <w:color w:val="000000" w:themeColor="text1"/>
                <w:sz w:val="20"/>
                <w:szCs w:val="20"/>
              </w:rPr>
              <w:t>College Collaboration Fund #Changemakers21</w:t>
            </w:r>
          </w:p>
          <w:p w14:paraId="4CBEBF75" w14:textId="77777777" w:rsidR="005D0D59" w:rsidRPr="006967ED" w:rsidRDefault="005D0D59" w:rsidP="00745B22">
            <w:pPr>
              <w:rPr>
                <w:rFonts w:eastAsia="Arial" w:cs="Arial"/>
                <w:bCs/>
                <w:color w:val="000000" w:themeColor="text1"/>
                <w:sz w:val="20"/>
                <w:szCs w:val="20"/>
              </w:rPr>
            </w:pPr>
            <w:r w:rsidRPr="006967ED">
              <w:rPr>
                <w:rFonts w:eastAsia="Arial" w:cs="Arial"/>
                <w:bCs/>
                <w:color w:val="000000" w:themeColor="text1"/>
                <w:sz w:val="20"/>
                <w:szCs w:val="20"/>
              </w:rPr>
              <w:t xml:space="preserve">It was reported that Over the last two years London South East Colleges, East Sussex College Group and East Surrey College have been working together on the highly successful, DfE funded College Collaboration (CCF) Programme #ChangeMakers. </w:t>
            </w:r>
          </w:p>
          <w:p w14:paraId="4CC3C2A5" w14:textId="77777777" w:rsidR="005D0D59" w:rsidRPr="006967ED" w:rsidRDefault="005D0D59" w:rsidP="00745B22">
            <w:pPr>
              <w:rPr>
                <w:rFonts w:eastAsia="Arial" w:cs="Arial"/>
                <w:bCs/>
                <w:color w:val="000000" w:themeColor="text1"/>
                <w:sz w:val="20"/>
                <w:szCs w:val="20"/>
              </w:rPr>
            </w:pPr>
            <w:r w:rsidRPr="006967ED">
              <w:rPr>
                <w:rFonts w:eastAsia="Arial" w:cs="Arial"/>
                <w:bCs/>
                <w:color w:val="000000" w:themeColor="text1"/>
                <w:sz w:val="20"/>
                <w:szCs w:val="20"/>
              </w:rPr>
              <w:t>The Board were advised that #ChangeMakers was successfully set up and implemented in September 2020 and since then has created a partnership of FE providers that strategically support a community of 28,000 learners, 2500 staff and covers a geographical area of 1400+ miles. The partnership has allowed the 3 Colleges to embed a systemised leadership framework which empowers colleagues from across curriculum and business support areas to.</w:t>
            </w:r>
          </w:p>
          <w:p w14:paraId="0D0F174D" w14:textId="77777777" w:rsidR="005D0D59" w:rsidRPr="006967ED" w:rsidRDefault="005D0D59" w:rsidP="00745B22">
            <w:pPr>
              <w:pStyle w:val="ListParagraph"/>
              <w:numPr>
                <w:ilvl w:val="0"/>
                <w:numId w:val="16"/>
              </w:numPr>
              <w:spacing w:after="160" w:line="259" w:lineRule="auto"/>
              <w:rPr>
                <w:rFonts w:eastAsia="Arial" w:cs="Arial"/>
                <w:bCs/>
                <w:color w:val="000000" w:themeColor="text1"/>
                <w:sz w:val="20"/>
                <w:szCs w:val="20"/>
              </w:rPr>
            </w:pPr>
            <w:r w:rsidRPr="006967ED">
              <w:rPr>
                <w:rFonts w:eastAsia="Arial" w:cs="Arial"/>
                <w:bCs/>
                <w:color w:val="000000" w:themeColor="text1"/>
                <w:sz w:val="20"/>
                <w:szCs w:val="20"/>
              </w:rPr>
              <w:t xml:space="preserve">Improve quality of education </w:t>
            </w:r>
          </w:p>
          <w:p w14:paraId="16FD92E8" w14:textId="77777777" w:rsidR="005D0D59" w:rsidRPr="006967ED" w:rsidRDefault="005D0D59" w:rsidP="00745B22">
            <w:pPr>
              <w:pStyle w:val="ListParagraph"/>
              <w:numPr>
                <w:ilvl w:val="0"/>
                <w:numId w:val="16"/>
              </w:numPr>
              <w:spacing w:after="160" w:line="259" w:lineRule="auto"/>
              <w:rPr>
                <w:rFonts w:eastAsia="Arial" w:cs="Arial"/>
                <w:bCs/>
                <w:color w:val="000000" w:themeColor="text1"/>
                <w:sz w:val="20"/>
                <w:szCs w:val="20"/>
              </w:rPr>
            </w:pPr>
            <w:r w:rsidRPr="006967ED">
              <w:rPr>
                <w:rFonts w:eastAsia="Arial" w:cs="Arial"/>
                <w:bCs/>
                <w:color w:val="000000" w:themeColor="text1"/>
                <w:sz w:val="20"/>
                <w:szCs w:val="20"/>
              </w:rPr>
              <w:t xml:space="preserve">Develop leadership &amp; governance capabilities  </w:t>
            </w:r>
          </w:p>
          <w:p w14:paraId="18F98F06" w14:textId="77777777" w:rsidR="005D0D59" w:rsidRPr="006967ED" w:rsidRDefault="005D0D59" w:rsidP="00745B22">
            <w:pPr>
              <w:pStyle w:val="ListParagraph"/>
              <w:numPr>
                <w:ilvl w:val="0"/>
                <w:numId w:val="16"/>
              </w:numPr>
              <w:spacing w:after="160" w:line="259" w:lineRule="auto"/>
              <w:rPr>
                <w:rFonts w:eastAsia="Arial" w:cs="Arial"/>
                <w:bCs/>
                <w:color w:val="000000" w:themeColor="text1"/>
                <w:sz w:val="20"/>
                <w:szCs w:val="20"/>
              </w:rPr>
            </w:pPr>
            <w:r w:rsidRPr="006967ED">
              <w:rPr>
                <w:rFonts w:eastAsia="Arial" w:cs="Arial"/>
                <w:bCs/>
                <w:color w:val="000000" w:themeColor="text1"/>
                <w:sz w:val="20"/>
                <w:szCs w:val="20"/>
              </w:rPr>
              <w:t>Create effective local, regional and national partnerships</w:t>
            </w:r>
          </w:p>
          <w:p w14:paraId="38F08A42" w14:textId="77777777" w:rsidR="005D0D59" w:rsidRPr="006967ED" w:rsidRDefault="005D0D59" w:rsidP="00745B22">
            <w:pPr>
              <w:pStyle w:val="ListParagraph"/>
              <w:numPr>
                <w:ilvl w:val="0"/>
                <w:numId w:val="16"/>
              </w:numPr>
              <w:spacing w:after="160" w:line="259" w:lineRule="auto"/>
              <w:rPr>
                <w:rFonts w:eastAsia="Arial" w:cs="Arial"/>
                <w:bCs/>
                <w:color w:val="000000" w:themeColor="text1"/>
                <w:sz w:val="20"/>
                <w:szCs w:val="20"/>
              </w:rPr>
            </w:pPr>
            <w:r w:rsidRPr="006967ED">
              <w:rPr>
                <w:rFonts w:eastAsia="Arial" w:cs="Arial"/>
                <w:bCs/>
                <w:color w:val="000000" w:themeColor="text1"/>
                <w:sz w:val="20"/>
                <w:szCs w:val="20"/>
              </w:rPr>
              <w:t xml:space="preserve">Improve financial resilience </w:t>
            </w:r>
          </w:p>
          <w:p w14:paraId="7EF4DED7" w14:textId="77777777" w:rsidR="005D0D59" w:rsidRPr="006967ED" w:rsidRDefault="005D0D59" w:rsidP="00745B22">
            <w:pPr>
              <w:pStyle w:val="ListParagraph"/>
              <w:numPr>
                <w:ilvl w:val="0"/>
                <w:numId w:val="16"/>
              </w:numPr>
              <w:spacing w:after="160" w:line="259" w:lineRule="auto"/>
              <w:rPr>
                <w:rFonts w:eastAsia="Arial" w:cs="Arial"/>
                <w:bCs/>
                <w:color w:val="000000" w:themeColor="text1"/>
                <w:sz w:val="20"/>
                <w:szCs w:val="20"/>
              </w:rPr>
            </w:pPr>
            <w:r w:rsidRPr="006967ED">
              <w:rPr>
                <w:rFonts w:eastAsia="Arial" w:cs="Arial"/>
                <w:bCs/>
                <w:color w:val="000000" w:themeColor="text1"/>
                <w:sz w:val="20"/>
                <w:szCs w:val="20"/>
              </w:rPr>
              <w:lastRenderedPageBreak/>
              <w:t xml:space="preserve">Innovate learning through digital transformation and pedagogy </w:t>
            </w:r>
          </w:p>
          <w:p w14:paraId="1315C848" w14:textId="77777777" w:rsidR="005D0D59" w:rsidRPr="006967ED" w:rsidRDefault="005D0D59" w:rsidP="00CE1268">
            <w:pPr>
              <w:pStyle w:val="ListParagraph"/>
              <w:numPr>
                <w:ilvl w:val="0"/>
                <w:numId w:val="16"/>
              </w:numPr>
              <w:spacing w:after="160" w:line="288" w:lineRule="auto"/>
              <w:rPr>
                <w:rFonts w:eastAsia="Arial" w:cs="Arial"/>
                <w:bCs/>
                <w:color w:val="000000" w:themeColor="text1"/>
                <w:sz w:val="20"/>
                <w:szCs w:val="20"/>
              </w:rPr>
            </w:pPr>
            <w:r w:rsidRPr="006967ED">
              <w:rPr>
                <w:rFonts w:eastAsia="Arial" w:cs="Arial"/>
                <w:bCs/>
                <w:color w:val="000000" w:themeColor="text1"/>
                <w:sz w:val="20"/>
                <w:szCs w:val="20"/>
              </w:rPr>
              <w:t xml:space="preserve">Create sustainable careers and progression opportunities for all learners </w:t>
            </w:r>
          </w:p>
          <w:p w14:paraId="45B13478" w14:textId="77777777" w:rsidR="005D0D59" w:rsidRPr="006967ED" w:rsidRDefault="005D0D59" w:rsidP="00CE1268">
            <w:pPr>
              <w:spacing w:after="160" w:line="288" w:lineRule="auto"/>
              <w:rPr>
                <w:rFonts w:eastAsia="Arial" w:cs="Arial"/>
                <w:bCs/>
                <w:color w:val="000000" w:themeColor="text1"/>
                <w:sz w:val="20"/>
                <w:szCs w:val="20"/>
              </w:rPr>
            </w:pPr>
            <w:r w:rsidRPr="006967ED">
              <w:rPr>
                <w:rFonts w:eastAsia="Arial" w:cs="Arial"/>
                <w:bCs/>
                <w:color w:val="000000" w:themeColor="text1"/>
                <w:sz w:val="20"/>
                <w:szCs w:val="20"/>
              </w:rPr>
              <w:t xml:space="preserve">It was reported that all three Colleges have benefited from the sector partnership, and the Colleges are now moving into the building sustainability phase. This sustainability will establish permanent links which will support collaboration, innovation, and growth for years to come. </w:t>
            </w:r>
          </w:p>
          <w:p w14:paraId="3A36AFEB" w14:textId="77777777" w:rsidR="005D0D59" w:rsidRPr="00CB572C" w:rsidRDefault="005D0D59" w:rsidP="00745B22">
            <w:pPr>
              <w:tabs>
                <w:tab w:val="left" w:pos="720"/>
              </w:tabs>
              <w:rPr>
                <w:rFonts w:eastAsia="Arial" w:cs="Arial"/>
                <w:b/>
                <w:color w:val="000000" w:themeColor="text1"/>
                <w:sz w:val="20"/>
                <w:szCs w:val="20"/>
              </w:rPr>
            </w:pPr>
            <w:r w:rsidRPr="00CB572C">
              <w:rPr>
                <w:rFonts w:eastAsia="Arial" w:cs="Arial"/>
                <w:b/>
                <w:color w:val="000000" w:themeColor="text1"/>
                <w:sz w:val="20"/>
                <w:szCs w:val="20"/>
              </w:rPr>
              <w:t>GLA Strategic Relationships</w:t>
            </w:r>
          </w:p>
          <w:p w14:paraId="5F07996B" w14:textId="77777777" w:rsidR="005D0D59" w:rsidRPr="006967ED" w:rsidRDefault="005D0D59" w:rsidP="00745B22">
            <w:pPr>
              <w:tabs>
                <w:tab w:val="left" w:pos="720"/>
              </w:tabs>
              <w:rPr>
                <w:rFonts w:eastAsia="Arial" w:cs="Arial"/>
                <w:bCs/>
                <w:color w:val="000000" w:themeColor="text1"/>
                <w:sz w:val="20"/>
                <w:szCs w:val="20"/>
              </w:rPr>
            </w:pPr>
            <w:r w:rsidRPr="006967ED">
              <w:rPr>
                <w:rFonts w:eastAsia="Arial" w:cs="Arial"/>
                <w:bCs/>
                <w:color w:val="000000" w:themeColor="text1"/>
                <w:sz w:val="20"/>
                <w:szCs w:val="20"/>
              </w:rPr>
              <w:t>The Board were advised that the College continued to ensure that relationships with the GLA are well managed and are beneficial to its ongoing strategic development. Operationally, the primary areas of focus currently are maintaining oversight of the current capital projects. These are:</w:t>
            </w:r>
          </w:p>
          <w:p w14:paraId="41958FEA" w14:textId="77777777" w:rsidR="005D0D59" w:rsidRPr="006967ED" w:rsidRDefault="005D0D59" w:rsidP="00090BBF">
            <w:pPr>
              <w:pStyle w:val="ListParagraph"/>
              <w:numPr>
                <w:ilvl w:val="0"/>
                <w:numId w:val="19"/>
              </w:numPr>
              <w:tabs>
                <w:tab w:val="left" w:pos="720"/>
              </w:tabs>
              <w:spacing w:after="160" w:line="259" w:lineRule="auto"/>
              <w:rPr>
                <w:rFonts w:eastAsiaTheme="minorEastAsia" w:cs="Arial"/>
                <w:bCs/>
                <w:color w:val="000000" w:themeColor="text1"/>
                <w:sz w:val="20"/>
                <w:szCs w:val="20"/>
              </w:rPr>
            </w:pPr>
            <w:r w:rsidRPr="006967ED">
              <w:rPr>
                <w:rFonts w:eastAsia="Arial" w:cs="Arial"/>
                <w:bCs/>
                <w:color w:val="000000" w:themeColor="text1"/>
                <w:sz w:val="20"/>
                <w:szCs w:val="20"/>
              </w:rPr>
              <w:t>London Aerospace and Technology project (LATC), funding for which is currently being ringfenced as match funding to support the FECTF application for the development of the Bromley campus.</w:t>
            </w:r>
          </w:p>
          <w:p w14:paraId="21BEC905" w14:textId="77777777" w:rsidR="005D0D59" w:rsidRPr="006967ED" w:rsidRDefault="005D0D59" w:rsidP="00090BBF">
            <w:pPr>
              <w:pStyle w:val="ListParagraph"/>
              <w:numPr>
                <w:ilvl w:val="0"/>
                <w:numId w:val="19"/>
              </w:numPr>
              <w:tabs>
                <w:tab w:val="left" w:pos="720"/>
              </w:tabs>
              <w:spacing w:after="160" w:line="259" w:lineRule="auto"/>
              <w:rPr>
                <w:rFonts w:cs="Arial"/>
                <w:bCs/>
                <w:color w:val="000000" w:themeColor="text1"/>
                <w:sz w:val="20"/>
                <w:szCs w:val="20"/>
              </w:rPr>
            </w:pPr>
            <w:r w:rsidRPr="006967ED">
              <w:rPr>
                <w:rFonts w:eastAsia="Arial" w:cs="Arial"/>
                <w:bCs/>
                <w:color w:val="000000" w:themeColor="text1"/>
                <w:sz w:val="20"/>
                <w:szCs w:val="20"/>
              </w:rPr>
              <w:t>Delivery of the Future Greenwich new campus.</w:t>
            </w:r>
          </w:p>
          <w:p w14:paraId="2F328375" w14:textId="77777777" w:rsidR="005D0D59" w:rsidRPr="006967ED" w:rsidRDefault="005D0D59" w:rsidP="00090BBF">
            <w:pPr>
              <w:pStyle w:val="ListParagraph"/>
              <w:numPr>
                <w:ilvl w:val="0"/>
                <w:numId w:val="19"/>
              </w:numPr>
              <w:tabs>
                <w:tab w:val="left" w:pos="720"/>
              </w:tabs>
              <w:spacing w:after="160" w:line="259" w:lineRule="auto"/>
              <w:rPr>
                <w:rFonts w:cs="Arial"/>
                <w:bCs/>
                <w:color w:val="000000" w:themeColor="text1"/>
                <w:sz w:val="20"/>
                <w:szCs w:val="20"/>
              </w:rPr>
            </w:pPr>
            <w:r w:rsidRPr="006967ED">
              <w:rPr>
                <w:rFonts w:eastAsia="Arial" w:cs="Arial"/>
                <w:bCs/>
                <w:color w:val="000000" w:themeColor="text1"/>
                <w:sz w:val="20"/>
                <w:szCs w:val="20"/>
              </w:rPr>
              <w:t xml:space="preserve">Delivery of the previous Mayor’s Construction Academy Capital Project with a new ‘pop up’ skills centre in Bexley and a new site for a Construction skills centre when Kidbrooke closes. </w:t>
            </w:r>
          </w:p>
          <w:p w14:paraId="3FE9F3A6" w14:textId="77777777" w:rsidR="005D0D59" w:rsidRPr="006967ED" w:rsidRDefault="005D0D59" w:rsidP="00745B22">
            <w:pPr>
              <w:tabs>
                <w:tab w:val="left" w:pos="720"/>
              </w:tabs>
              <w:rPr>
                <w:rFonts w:eastAsia="Arial" w:cs="Arial"/>
                <w:bCs/>
                <w:color w:val="000000" w:themeColor="text1"/>
                <w:sz w:val="20"/>
                <w:szCs w:val="20"/>
              </w:rPr>
            </w:pPr>
            <w:r w:rsidRPr="006967ED">
              <w:rPr>
                <w:rFonts w:eastAsia="Arial" w:cs="Arial"/>
                <w:bCs/>
                <w:color w:val="000000" w:themeColor="text1"/>
                <w:sz w:val="20"/>
                <w:szCs w:val="20"/>
              </w:rPr>
              <w:t xml:space="preserve">It was reported that separate to this, the GCEO Directorate is working closely with Bloomberg and GLA Officers in the design and implementation of the London Recovery Board Anchor Institution Strategy and the associated Impact and Evaluation Framework. One of the work streams for this is the Green New Deal. </w:t>
            </w:r>
          </w:p>
          <w:p w14:paraId="0D350079" w14:textId="77777777" w:rsidR="005D0D59" w:rsidRPr="006967ED" w:rsidRDefault="005D0D59" w:rsidP="00745B22">
            <w:pPr>
              <w:tabs>
                <w:tab w:val="left" w:pos="720"/>
              </w:tabs>
              <w:rPr>
                <w:rFonts w:eastAsia="Arial" w:cs="Arial"/>
                <w:bCs/>
                <w:color w:val="000000" w:themeColor="text1"/>
                <w:sz w:val="20"/>
                <w:szCs w:val="20"/>
              </w:rPr>
            </w:pPr>
            <w:r w:rsidRPr="006967ED">
              <w:rPr>
                <w:rFonts w:eastAsia="Arial" w:cs="Arial"/>
                <w:bCs/>
                <w:color w:val="000000" w:themeColor="text1"/>
                <w:sz w:val="20"/>
                <w:szCs w:val="20"/>
              </w:rPr>
              <w:t>It was reported that we continue to influence and shape this work and how it will be implemented to enable us to support and enhance thinking on our future curriculum strategy in this critical growth area. Equally our role in this policy influencing has also helped the College position itself reputationally to lead one of the new Mayoral Academies which is detailed in the next update.</w:t>
            </w:r>
          </w:p>
          <w:p w14:paraId="455FDB47" w14:textId="77777777" w:rsidR="005D0D59" w:rsidRPr="00CB572C" w:rsidRDefault="005D0D59" w:rsidP="00745B22">
            <w:pPr>
              <w:tabs>
                <w:tab w:val="left" w:pos="720"/>
              </w:tabs>
              <w:rPr>
                <w:rFonts w:eastAsia="Arial" w:cs="Arial"/>
                <w:b/>
                <w:color w:val="000000" w:themeColor="text1"/>
                <w:sz w:val="20"/>
                <w:szCs w:val="20"/>
              </w:rPr>
            </w:pPr>
            <w:r w:rsidRPr="00CB572C">
              <w:rPr>
                <w:rFonts w:eastAsia="Arial" w:cs="Arial"/>
                <w:b/>
                <w:color w:val="000000" w:themeColor="text1"/>
                <w:sz w:val="20"/>
                <w:szCs w:val="20"/>
              </w:rPr>
              <w:t xml:space="preserve">Local London Green and Digital Mayoral Academy </w:t>
            </w:r>
          </w:p>
          <w:p w14:paraId="096C0AEA" w14:textId="77777777" w:rsidR="005D0D59" w:rsidRPr="006967ED" w:rsidRDefault="005D0D59" w:rsidP="00745B22">
            <w:pPr>
              <w:rPr>
                <w:rFonts w:eastAsia="Arial" w:cs="Arial"/>
                <w:bCs/>
                <w:color w:val="000000" w:themeColor="text1"/>
                <w:sz w:val="20"/>
                <w:szCs w:val="20"/>
              </w:rPr>
            </w:pPr>
            <w:r w:rsidRPr="006967ED">
              <w:rPr>
                <w:rFonts w:eastAsia="Arial" w:cs="Arial"/>
                <w:bCs/>
                <w:color w:val="000000" w:themeColor="text1"/>
                <w:sz w:val="20"/>
                <w:szCs w:val="20"/>
              </w:rPr>
              <w:t xml:space="preserve">The Board were advised that the College have been chosen to lead the Local London Green and Digital Mayoral Academy (LLGDMA) as part of the Mayor of London’s Academies Programme. </w:t>
            </w:r>
          </w:p>
          <w:p w14:paraId="10EB5780" w14:textId="77777777" w:rsidR="005D0D59" w:rsidRPr="006967ED" w:rsidRDefault="005D0D59" w:rsidP="00745B22">
            <w:pPr>
              <w:rPr>
                <w:rFonts w:eastAsia="Arial" w:cs="Arial"/>
                <w:bCs/>
                <w:color w:val="000000" w:themeColor="text1"/>
                <w:sz w:val="20"/>
                <w:szCs w:val="20"/>
              </w:rPr>
            </w:pPr>
            <w:r w:rsidRPr="006967ED">
              <w:rPr>
                <w:rFonts w:eastAsia="Arial" w:cs="Arial"/>
                <w:bCs/>
                <w:color w:val="000000" w:themeColor="text1"/>
                <w:sz w:val="20"/>
                <w:szCs w:val="20"/>
              </w:rPr>
              <w:t xml:space="preserve">The new programme builds on the successful delivery of the previous Mayor’s Construction Academy Programme and will assist in supporting the development of new skills in the MCA Capital projects highlighted above. The new sector academy is aimed at supporting Londoners to access a range of new jobs and opportunities, with a focus on growth sectors such as Green and Digital.  </w:t>
            </w:r>
          </w:p>
          <w:p w14:paraId="2F888E96" w14:textId="77777777" w:rsidR="005D0D59" w:rsidRPr="006967ED" w:rsidRDefault="005D0D59" w:rsidP="00745B22">
            <w:pPr>
              <w:rPr>
                <w:rFonts w:eastAsia="Arial" w:cs="Arial"/>
                <w:bCs/>
                <w:color w:val="000000" w:themeColor="text1"/>
                <w:sz w:val="20"/>
                <w:szCs w:val="20"/>
              </w:rPr>
            </w:pPr>
            <w:r w:rsidRPr="006967ED">
              <w:rPr>
                <w:rFonts w:eastAsia="Arial" w:cs="Arial"/>
                <w:bCs/>
                <w:color w:val="000000" w:themeColor="text1"/>
                <w:sz w:val="20"/>
                <w:szCs w:val="20"/>
              </w:rPr>
              <w:t>It was reported that the academy will collaborate across 11 further education providers and 9 London boroughs in the Local London region to ensure the Greater London Authority (GLA) has a central delivery mechanism for the region which:</w:t>
            </w:r>
          </w:p>
          <w:p w14:paraId="24D2D61A" w14:textId="77777777" w:rsidR="005D0D59" w:rsidRPr="006967ED" w:rsidRDefault="005D0D59" w:rsidP="00745B22">
            <w:pPr>
              <w:pStyle w:val="ListParagraph"/>
              <w:numPr>
                <w:ilvl w:val="0"/>
                <w:numId w:val="17"/>
              </w:numPr>
              <w:spacing w:after="160" w:line="259" w:lineRule="auto"/>
              <w:rPr>
                <w:rFonts w:eastAsia="Arial" w:cs="Arial"/>
                <w:bCs/>
                <w:color w:val="000000" w:themeColor="text1"/>
                <w:sz w:val="20"/>
                <w:szCs w:val="20"/>
              </w:rPr>
            </w:pPr>
            <w:r w:rsidRPr="006967ED">
              <w:rPr>
                <w:rFonts w:eastAsia="Arial" w:cs="Arial"/>
                <w:bCs/>
                <w:color w:val="000000" w:themeColor="text1"/>
                <w:sz w:val="20"/>
                <w:szCs w:val="20"/>
              </w:rPr>
              <w:t>Creates a clear and responsive governance sub-structure combining colleges, employers and local authorities.</w:t>
            </w:r>
          </w:p>
          <w:p w14:paraId="476C7378" w14:textId="77777777" w:rsidR="005D0D59" w:rsidRPr="006967ED" w:rsidRDefault="005D0D59" w:rsidP="00745B22">
            <w:pPr>
              <w:pStyle w:val="ListParagraph"/>
              <w:numPr>
                <w:ilvl w:val="0"/>
                <w:numId w:val="17"/>
              </w:numPr>
              <w:spacing w:after="160" w:line="259" w:lineRule="auto"/>
              <w:rPr>
                <w:rFonts w:eastAsia="Arial" w:cs="Arial"/>
                <w:bCs/>
                <w:color w:val="000000" w:themeColor="text1"/>
                <w:sz w:val="20"/>
                <w:szCs w:val="20"/>
              </w:rPr>
            </w:pPr>
            <w:r w:rsidRPr="006967ED">
              <w:rPr>
                <w:rFonts w:eastAsia="Arial" w:cs="Arial"/>
                <w:bCs/>
                <w:color w:val="000000" w:themeColor="text1"/>
                <w:sz w:val="20"/>
                <w:szCs w:val="20"/>
              </w:rPr>
              <w:t>Develops a responsive and innovative skills plan and curriculum for Green and Digital skills, growing and supporting our economic sub region and harnessing AEB opportunities.</w:t>
            </w:r>
          </w:p>
          <w:p w14:paraId="26969C23" w14:textId="77777777" w:rsidR="005D0D59" w:rsidRPr="006967ED" w:rsidRDefault="005D0D59" w:rsidP="00745B22">
            <w:pPr>
              <w:pStyle w:val="ListParagraph"/>
              <w:numPr>
                <w:ilvl w:val="0"/>
                <w:numId w:val="17"/>
              </w:numPr>
              <w:spacing w:after="160" w:line="259" w:lineRule="auto"/>
              <w:rPr>
                <w:rFonts w:eastAsia="Arial" w:cs="Arial"/>
                <w:bCs/>
                <w:color w:val="000000" w:themeColor="text1"/>
                <w:sz w:val="20"/>
                <w:szCs w:val="20"/>
              </w:rPr>
            </w:pPr>
            <w:r w:rsidRPr="006967ED">
              <w:rPr>
                <w:rFonts w:eastAsia="Arial" w:cs="Arial"/>
                <w:bCs/>
                <w:color w:val="000000" w:themeColor="text1"/>
                <w:sz w:val="20"/>
                <w:szCs w:val="20"/>
              </w:rPr>
              <w:t>Utilises and builds on our large strategic networks including local Chambers of Commerce, London First and the CBI.</w:t>
            </w:r>
          </w:p>
          <w:p w14:paraId="7AF0A083" w14:textId="77777777" w:rsidR="005D0D59" w:rsidRPr="006967ED" w:rsidRDefault="005D0D59" w:rsidP="00745B22">
            <w:pPr>
              <w:pStyle w:val="ListParagraph"/>
              <w:numPr>
                <w:ilvl w:val="0"/>
                <w:numId w:val="17"/>
              </w:numPr>
              <w:spacing w:after="160" w:line="259" w:lineRule="auto"/>
              <w:rPr>
                <w:rFonts w:eastAsia="Arial" w:cs="Arial"/>
                <w:bCs/>
                <w:color w:val="000000" w:themeColor="text1"/>
                <w:sz w:val="20"/>
                <w:szCs w:val="20"/>
              </w:rPr>
            </w:pPr>
            <w:r w:rsidRPr="006967ED">
              <w:rPr>
                <w:rFonts w:eastAsia="Arial" w:cs="Arial"/>
                <w:bCs/>
                <w:color w:val="000000" w:themeColor="text1"/>
                <w:sz w:val="20"/>
                <w:szCs w:val="20"/>
              </w:rPr>
              <w:t>Commission intelligence-based research to understand the developing Green and Digital sector.</w:t>
            </w:r>
          </w:p>
          <w:p w14:paraId="7C4AAB76" w14:textId="77777777" w:rsidR="005D0D59" w:rsidRPr="006967ED" w:rsidRDefault="005D0D59" w:rsidP="00745B22">
            <w:pPr>
              <w:pStyle w:val="ListParagraph"/>
              <w:numPr>
                <w:ilvl w:val="0"/>
                <w:numId w:val="17"/>
              </w:numPr>
              <w:spacing w:after="160" w:line="259" w:lineRule="auto"/>
              <w:rPr>
                <w:rFonts w:eastAsia="Arial" w:cs="Arial"/>
                <w:bCs/>
                <w:color w:val="000000" w:themeColor="text1"/>
                <w:sz w:val="20"/>
                <w:szCs w:val="20"/>
              </w:rPr>
            </w:pPr>
            <w:r w:rsidRPr="006967ED">
              <w:rPr>
                <w:rFonts w:eastAsia="Arial" w:cs="Arial"/>
                <w:bCs/>
                <w:color w:val="000000" w:themeColor="text1"/>
                <w:sz w:val="20"/>
                <w:szCs w:val="20"/>
              </w:rPr>
              <w:t xml:space="preserve">Creates and schedules a comprehensive set of events and activities which supports learning and development in areas of growth and skills shortages. </w:t>
            </w:r>
          </w:p>
          <w:p w14:paraId="57A0C108" w14:textId="77777777" w:rsidR="005D0D59" w:rsidRPr="006967ED" w:rsidRDefault="005D0D59" w:rsidP="0030104A">
            <w:pPr>
              <w:rPr>
                <w:rFonts w:eastAsia="Arial" w:cs="Arial"/>
                <w:bCs/>
                <w:color w:val="000000" w:themeColor="text1"/>
                <w:sz w:val="20"/>
                <w:szCs w:val="20"/>
              </w:rPr>
            </w:pPr>
            <w:r w:rsidRPr="006967ED">
              <w:rPr>
                <w:rFonts w:eastAsia="Arial" w:cs="Arial"/>
                <w:bCs/>
                <w:color w:val="000000" w:themeColor="text1"/>
                <w:sz w:val="20"/>
                <w:szCs w:val="20"/>
              </w:rPr>
              <w:t>Covering an area of over 2.6 million residents, we hope to support the creation of over 60,000 new jobs in London by 2030.</w:t>
            </w:r>
          </w:p>
          <w:p w14:paraId="4D1A30CA" w14:textId="77777777" w:rsidR="005D0D59" w:rsidRPr="006967ED" w:rsidRDefault="005D0D59" w:rsidP="00A85FD0">
            <w:pPr>
              <w:spacing w:after="0"/>
              <w:rPr>
                <w:rFonts w:eastAsia="Times New Roman" w:cs="Arial"/>
                <w:bCs/>
                <w:iCs/>
                <w:sz w:val="20"/>
                <w:szCs w:val="20"/>
                <w:lang w:eastAsia="en-GB"/>
              </w:rPr>
            </w:pPr>
            <w:r w:rsidRPr="006967ED">
              <w:rPr>
                <w:rFonts w:eastAsia="Times New Roman" w:cs="Arial"/>
                <w:bCs/>
                <w:iCs/>
                <w:sz w:val="20"/>
                <w:szCs w:val="20"/>
                <w:lang w:eastAsia="en-GB"/>
              </w:rPr>
              <w:t xml:space="preserve">The Board were updated on the good progress on EDI objectives and the comprehensive action plan, in place.  EDI training completion remains high at 96% and unconscious bias training at 95%. In addition to </w:t>
            </w:r>
            <w:r w:rsidRPr="006967ED">
              <w:rPr>
                <w:rFonts w:eastAsia="Times New Roman" w:cs="Arial"/>
                <w:bCs/>
                <w:iCs/>
                <w:sz w:val="20"/>
                <w:szCs w:val="20"/>
                <w:lang w:eastAsia="en-GB"/>
              </w:rPr>
              <w:lastRenderedPageBreak/>
              <w:t xml:space="preserve">mandatory EDI training, further training on Inclusive Recruitment, Deaf Awareness and Embedding EDI in the Curriculum has been implemented.  It was reported that we have also implemented a Diverse Leadership Programme, in collaboration with East Surrey and East Sussex Colleges. There have also been a few promotions amongst our Black, minority and Ethnic Staff, and a number of other </w:t>
            </w:r>
            <w:proofErr w:type="gramStart"/>
            <w:r w:rsidRPr="006967ED">
              <w:rPr>
                <w:rFonts w:eastAsia="Times New Roman" w:cs="Arial"/>
                <w:bCs/>
                <w:iCs/>
                <w:sz w:val="20"/>
                <w:szCs w:val="20"/>
                <w:lang w:eastAsia="en-GB"/>
              </w:rPr>
              <w:t>staff</w:t>
            </w:r>
            <w:proofErr w:type="gramEnd"/>
            <w:r w:rsidRPr="006967ED">
              <w:rPr>
                <w:rFonts w:eastAsia="Times New Roman" w:cs="Arial"/>
                <w:bCs/>
                <w:iCs/>
                <w:sz w:val="20"/>
                <w:szCs w:val="20"/>
                <w:lang w:eastAsia="en-GB"/>
              </w:rPr>
              <w:t xml:space="preserve"> are engaging in continuous development activities. </w:t>
            </w:r>
          </w:p>
          <w:p w14:paraId="00CE89E8" w14:textId="77777777" w:rsidR="005D0D59" w:rsidRPr="006967ED" w:rsidRDefault="005D0D59" w:rsidP="00A85FD0">
            <w:pPr>
              <w:spacing w:after="0"/>
              <w:rPr>
                <w:rFonts w:eastAsia="Times New Roman" w:cs="Arial"/>
                <w:bCs/>
                <w:iCs/>
                <w:sz w:val="20"/>
                <w:szCs w:val="20"/>
                <w:lang w:eastAsia="en-GB"/>
              </w:rPr>
            </w:pPr>
          </w:p>
          <w:p w14:paraId="0E8D3890" w14:textId="77777777" w:rsidR="005D0D59" w:rsidRPr="006967ED" w:rsidRDefault="005D0D59" w:rsidP="00745B22">
            <w:pPr>
              <w:tabs>
                <w:tab w:val="num" w:pos="720"/>
              </w:tabs>
              <w:rPr>
                <w:rFonts w:eastAsia="Times New Roman" w:cs="Arial"/>
                <w:bCs/>
                <w:iCs/>
                <w:sz w:val="20"/>
                <w:szCs w:val="20"/>
                <w:lang w:eastAsia="en-GB"/>
              </w:rPr>
            </w:pPr>
            <w:r w:rsidRPr="006967ED">
              <w:rPr>
                <w:rFonts w:eastAsia="Times New Roman" w:cs="Arial"/>
                <w:bCs/>
                <w:iCs/>
                <w:sz w:val="20"/>
                <w:szCs w:val="20"/>
                <w:lang w:eastAsia="en-GB"/>
              </w:rPr>
              <w:t xml:space="preserve">The Board were advised that students and staff continue to engage in EDI matters, utilising the EDI annual calendar.  Since the beginning of the academic year, there have been activities implemented as part of black history month, raising awareness, and involving the learners and staff in thought provoking debates. A number of events for this month’s LGBTQ history month have been planned. This includes tutorials, workshops, the invitation of speakers, and repository of resources, aimed at raising awareness of LGBT history. </w:t>
            </w:r>
          </w:p>
          <w:p w14:paraId="5ABFB764" w14:textId="77777777" w:rsidR="005D0D59" w:rsidRPr="006967ED" w:rsidRDefault="005D0D59" w:rsidP="00745B22">
            <w:pPr>
              <w:tabs>
                <w:tab w:val="num" w:pos="720"/>
              </w:tabs>
              <w:rPr>
                <w:rFonts w:eastAsia="Times New Roman" w:cs="Arial"/>
                <w:bCs/>
                <w:iCs/>
                <w:sz w:val="20"/>
                <w:szCs w:val="20"/>
                <w:lang w:eastAsia="en-GB"/>
              </w:rPr>
            </w:pPr>
            <w:r w:rsidRPr="006967ED">
              <w:rPr>
                <w:rFonts w:eastAsia="Times New Roman" w:cs="Arial"/>
                <w:bCs/>
                <w:iCs/>
                <w:sz w:val="20"/>
                <w:szCs w:val="20"/>
                <w:lang w:eastAsia="en-GB"/>
              </w:rPr>
              <w:t xml:space="preserve">It was reported that further activities for International Women’s day, Autism Awareness Week and Mental Health Week are planned.  </w:t>
            </w:r>
          </w:p>
          <w:p w14:paraId="6B54AC38" w14:textId="0004CC51" w:rsidR="005D0D59" w:rsidRPr="006967ED" w:rsidRDefault="005D0D59" w:rsidP="00745B22">
            <w:pPr>
              <w:tabs>
                <w:tab w:val="num" w:pos="720"/>
              </w:tabs>
              <w:rPr>
                <w:rFonts w:eastAsia="Times New Roman" w:cs="Arial"/>
                <w:bCs/>
                <w:iCs/>
                <w:sz w:val="20"/>
                <w:szCs w:val="20"/>
                <w:lang w:eastAsia="en-GB"/>
              </w:rPr>
            </w:pPr>
            <w:r w:rsidRPr="006967ED">
              <w:rPr>
                <w:rFonts w:eastAsia="Times New Roman" w:cs="Arial"/>
                <w:bCs/>
                <w:iCs/>
                <w:sz w:val="20"/>
                <w:szCs w:val="20"/>
                <w:lang w:eastAsia="en-GB"/>
              </w:rPr>
              <w:t xml:space="preserve">The college continues to use its communication platforms to inform staff, students, and external stakeholders of our progress, and we have also set up EDI sites on TEAMS, SharePoint, student portals, and also communicated our actions in all staff briefings and in lunch and learn meetings.  </w:t>
            </w:r>
          </w:p>
          <w:p w14:paraId="2A5FC892" w14:textId="77777777" w:rsidR="005D0D59" w:rsidRPr="00A609E2" w:rsidRDefault="005D0D59" w:rsidP="00745B22">
            <w:pPr>
              <w:tabs>
                <w:tab w:val="num" w:pos="720"/>
              </w:tabs>
              <w:rPr>
                <w:rFonts w:eastAsia="Times New Roman" w:cs="Arial"/>
                <w:b/>
                <w:iCs/>
                <w:sz w:val="20"/>
                <w:szCs w:val="20"/>
                <w:lang w:eastAsia="en-GB"/>
              </w:rPr>
            </w:pPr>
            <w:r w:rsidRPr="00A609E2">
              <w:rPr>
                <w:rFonts w:eastAsia="Times New Roman" w:cs="Arial"/>
                <w:b/>
                <w:iCs/>
                <w:sz w:val="20"/>
                <w:szCs w:val="20"/>
                <w:lang w:eastAsia="en-GB"/>
              </w:rPr>
              <w:t>Student Interventions</w:t>
            </w:r>
          </w:p>
          <w:p w14:paraId="379E55FE" w14:textId="77777777" w:rsidR="005D0D59" w:rsidRPr="006967ED" w:rsidRDefault="005D0D59" w:rsidP="00745B22">
            <w:pPr>
              <w:tabs>
                <w:tab w:val="num" w:pos="720"/>
              </w:tabs>
              <w:rPr>
                <w:rFonts w:eastAsia="Times New Roman" w:cs="Arial"/>
                <w:bCs/>
                <w:iCs/>
                <w:sz w:val="20"/>
                <w:szCs w:val="20"/>
                <w:lang w:eastAsia="en-GB"/>
              </w:rPr>
            </w:pPr>
            <w:r w:rsidRPr="006967ED">
              <w:rPr>
                <w:rFonts w:eastAsia="Times New Roman" w:cs="Arial"/>
                <w:bCs/>
                <w:iCs/>
                <w:sz w:val="20"/>
                <w:szCs w:val="20"/>
                <w:lang w:eastAsia="en-GB"/>
              </w:rPr>
              <w:t>The Board were advised that the Student Engagement Team were running multiple projects which aim to target and support the groups of students identified within the Achievement and Aspiration Objectives. These projects include:</w:t>
            </w:r>
          </w:p>
          <w:p w14:paraId="5055B9A7" w14:textId="77777777" w:rsidR="005D0D59" w:rsidRPr="006967ED" w:rsidRDefault="005D0D59" w:rsidP="00745B22">
            <w:pPr>
              <w:pStyle w:val="ListParagraph"/>
              <w:numPr>
                <w:ilvl w:val="1"/>
                <w:numId w:val="18"/>
              </w:numPr>
              <w:tabs>
                <w:tab w:val="num" w:pos="720"/>
              </w:tabs>
              <w:spacing w:after="0"/>
              <w:ind w:left="426" w:hanging="426"/>
              <w:rPr>
                <w:rFonts w:eastAsia="Times New Roman" w:cs="Arial"/>
                <w:bCs/>
                <w:iCs/>
                <w:sz w:val="20"/>
                <w:szCs w:val="20"/>
                <w:lang w:eastAsia="en-GB"/>
              </w:rPr>
            </w:pPr>
            <w:r w:rsidRPr="006967ED">
              <w:rPr>
                <w:rFonts w:eastAsia="Times New Roman" w:cs="Arial"/>
                <w:bCs/>
                <w:iCs/>
                <w:sz w:val="20"/>
                <w:szCs w:val="20"/>
                <w:lang w:eastAsia="en-GB"/>
              </w:rPr>
              <w:t>Uni Connect – A programme targeting students in Level 2 &amp; 3 programmes who meet an EDI profile &amp; statistically don’t progress to Higher Education. This programme provides 1-2-1 support, careers and IAG advice and focus on raising aspirations and group work.</w:t>
            </w:r>
          </w:p>
          <w:p w14:paraId="03C02758" w14:textId="77777777" w:rsidR="005D0D59" w:rsidRPr="006967ED" w:rsidRDefault="005D0D59" w:rsidP="00745B22">
            <w:pPr>
              <w:pStyle w:val="ListParagraph"/>
              <w:numPr>
                <w:ilvl w:val="1"/>
                <w:numId w:val="18"/>
              </w:numPr>
              <w:tabs>
                <w:tab w:val="num" w:pos="720"/>
              </w:tabs>
              <w:spacing w:after="0"/>
              <w:ind w:left="426" w:hanging="426"/>
              <w:rPr>
                <w:rFonts w:eastAsia="Times New Roman" w:cs="Arial"/>
                <w:bCs/>
                <w:iCs/>
                <w:sz w:val="20"/>
                <w:szCs w:val="20"/>
                <w:lang w:eastAsia="en-GB"/>
              </w:rPr>
            </w:pPr>
            <w:r w:rsidRPr="006967ED">
              <w:rPr>
                <w:rFonts w:eastAsia="Times New Roman" w:cs="Arial"/>
                <w:bCs/>
                <w:iCs/>
                <w:sz w:val="20"/>
                <w:szCs w:val="20"/>
                <w:lang w:eastAsia="en-GB"/>
              </w:rPr>
              <w:t>Change Makers: Re-engaging in Education: Mental Health – Focused on the reengagement &amp; achievement of young people who have declared a mental health condition/concern at enrolment/throughout the academic year. This project is working towards an intervention programme to support learners getting back on track with education, as well as an ambassador programme for students to promote positive mental health and the launch of Fika, a mental health app.</w:t>
            </w:r>
          </w:p>
          <w:p w14:paraId="7DB20F1E" w14:textId="77777777" w:rsidR="005D0D59" w:rsidRPr="006967ED" w:rsidRDefault="005D0D59" w:rsidP="00745B22">
            <w:pPr>
              <w:pStyle w:val="ListParagraph"/>
              <w:numPr>
                <w:ilvl w:val="1"/>
                <w:numId w:val="18"/>
              </w:numPr>
              <w:tabs>
                <w:tab w:val="num" w:pos="720"/>
              </w:tabs>
              <w:spacing w:after="0"/>
              <w:ind w:left="426" w:hanging="426"/>
              <w:rPr>
                <w:rFonts w:eastAsia="Times New Roman" w:cs="Arial"/>
                <w:bCs/>
                <w:iCs/>
                <w:sz w:val="20"/>
                <w:szCs w:val="20"/>
                <w:lang w:eastAsia="en-GB"/>
              </w:rPr>
            </w:pPr>
            <w:r w:rsidRPr="006967ED">
              <w:rPr>
                <w:rFonts w:eastAsia="Times New Roman" w:cs="Arial"/>
                <w:bCs/>
                <w:iCs/>
                <w:sz w:val="20"/>
                <w:szCs w:val="20"/>
                <w:lang w:eastAsia="en-GB"/>
              </w:rPr>
              <w:t>Student Engagement Targeted Support – Will link in with curriculum to build a case load of learners who require extra intervention as identified by curriculum or through an EDI gap. They will monitor the progress and provide additional support to help them remain engaged and achieve.</w:t>
            </w:r>
          </w:p>
          <w:p w14:paraId="32FADBEC" w14:textId="77777777" w:rsidR="005D0D59" w:rsidRPr="006967ED" w:rsidRDefault="005D0D59" w:rsidP="00DC3E6A">
            <w:pPr>
              <w:pStyle w:val="ListParagraph"/>
              <w:tabs>
                <w:tab w:val="num" w:pos="720"/>
              </w:tabs>
              <w:spacing w:after="0"/>
              <w:ind w:left="426"/>
              <w:rPr>
                <w:rFonts w:eastAsia="Times New Roman" w:cs="Arial"/>
                <w:bCs/>
                <w:iCs/>
                <w:sz w:val="20"/>
                <w:szCs w:val="20"/>
                <w:lang w:eastAsia="en-GB"/>
              </w:rPr>
            </w:pPr>
          </w:p>
          <w:p w14:paraId="5CD3C779" w14:textId="77777777" w:rsidR="005D0D59" w:rsidRPr="006967ED" w:rsidRDefault="005D0D59" w:rsidP="00DC3E6A">
            <w:pPr>
              <w:tabs>
                <w:tab w:val="num" w:pos="720"/>
              </w:tabs>
              <w:spacing w:after="0"/>
              <w:rPr>
                <w:rFonts w:eastAsia="Times New Roman" w:cs="Arial"/>
                <w:bCs/>
                <w:iCs/>
                <w:sz w:val="20"/>
                <w:szCs w:val="20"/>
                <w:lang w:eastAsia="en-GB"/>
              </w:rPr>
            </w:pPr>
            <w:r w:rsidRPr="006967ED">
              <w:rPr>
                <w:rFonts w:eastAsia="Times New Roman" w:cs="Arial"/>
                <w:bCs/>
                <w:iCs/>
                <w:sz w:val="20"/>
                <w:szCs w:val="20"/>
                <w:lang w:eastAsia="en-GB"/>
              </w:rPr>
              <w:t xml:space="preserve">The Board were advised that the College was currently funding 5 EDI grants.  These comprise 2 student grants and 3 staff </w:t>
            </w:r>
            <w:proofErr w:type="gramStart"/>
            <w:r w:rsidRPr="006967ED">
              <w:rPr>
                <w:rFonts w:eastAsia="Times New Roman" w:cs="Arial"/>
                <w:bCs/>
                <w:iCs/>
                <w:sz w:val="20"/>
                <w:szCs w:val="20"/>
                <w:lang w:eastAsia="en-GB"/>
              </w:rPr>
              <w:t>grants</w:t>
            </w:r>
            <w:proofErr w:type="gramEnd"/>
            <w:r w:rsidRPr="006967ED">
              <w:rPr>
                <w:rFonts w:eastAsia="Times New Roman" w:cs="Arial"/>
                <w:bCs/>
                <w:iCs/>
                <w:sz w:val="20"/>
                <w:szCs w:val="20"/>
                <w:lang w:eastAsia="en-GB"/>
              </w:rPr>
              <w:t>. To date 6 grants have funded in total (circa £70,000). Staff have also been contacted to run research projects into student achievement gaps.</w:t>
            </w:r>
          </w:p>
          <w:p w14:paraId="43984586" w14:textId="77777777" w:rsidR="005D0D59" w:rsidRPr="006967ED" w:rsidRDefault="005D0D59" w:rsidP="00DC3E6A">
            <w:pPr>
              <w:tabs>
                <w:tab w:val="num" w:pos="720"/>
              </w:tabs>
              <w:spacing w:after="0"/>
              <w:rPr>
                <w:rFonts w:eastAsia="Times New Roman" w:cs="Arial"/>
                <w:bCs/>
                <w:iCs/>
                <w:sz w:val="20"/>
                <w:szCs w:val="20"/>
                <w:lang w:eastAsia="en-GB"/>
              </w:rPr>
            </w:pPr>
          </w:p>
          <w:p w14:paraId="43AFF3FB" w14:textId="77777777" w:rsidR="005D0D59" w:rsidRPr="006967ED" w:rsidRDefault="005D0D59" w:rsidP="00745B22">
            <w:pPr>
              <w:tabs>
                <w:tab w:val="num" w:pos="720"/>
              </w:tabs>
              <w:rPr>
                <w:rFonts w:eastAsia="Times New Roman" w:cs="Arial"/>
                <w:bCs/>
                <w:iCs/>
                <w:sz w:val="20"/>
                <w:szCs w:val="20"/>
                <w:lang w:eastAsia="en-GB"/>
              </w:rPr>
            </w:pPr>
            <w:r w:rsidRPr="006967ED">
              <w:rPr>
                <w:rFonts w:eastAsia="Times New Roman" w:cs="Arial"/>
                <w:bCs/>
                <w:iCs/>
                <w:sz w:val="20"/>
                <w:szCs w:val="20"/>
                <w:lang w:eastAsia="en-GB"/>
              </w:rPr>
              <w:t xml:space="preserve">The Board were advised that in December the Senior Leadership Team had their induction event with Black Leadership FE Group which was used to ascertain the college’s position as an organisation regarding race equality, and to identify key objectives and areas for improvement that we will focus on going forward. </w:t>
            </w:r>
          </w:p>
          <w:p w14:paraId="502FB6E7" w14:textId="77777777" w:rsidR="005D0D59" w:rsidRPr="006967ED" w:rsidRDefault="005D0D59" w:rsidP="007C1897">
            <w:pPr>
              <w:tabs>
                <w:tab w:val="num" w:pos="720"/>
              </w:tabs>
              <w:rPr>
                <w:rFonts w:eastAsia="Times New Roman" w:cs="Arial"/>
                <w:bCs/>
                <w:iCs/>
                <w:sz w:val="20"/>
                <w:szCs w:val="20"/>
                <w:lang w:eastAsia="en-GB"/>
              </w:rPr>
            </w:pPr>
            <w:r w:rsidRPr="006967ED">
              <w:rPr>
                <w:rFonts w:eastAsia="Times New Roman" w:cs="Arial"/>
                <w:bCs/>
                <w:iCs/>
                <w:sz w:val="20"/>
                <w:szCs w:val="20"/>
                <w:lang w:eastAsia="en-GB"/>
              </w:rPr>
              <w:t>Following on from this induction, an Action Plan has been created to help us identify and implement actions so that we can achieve the objectives set and ensure that we are doing as much as possible as an organisation to promote anti-racism and to create real, lasting change.</w:t>
            </w:r>
          </w:p>
          <w:p w14:paraId="5188AA23" w14:textId="77777777" w:rsidR="005D0D59" w:rsidRDefault="005D0D59" w:rsidP="007C1897">
            <w:pPr>
              <w:spacing w:after="0"/>
              <w:rPr>
                <w:rFonts w:cs="Arial"/>
                <w:bCs/>
                <w:sz w:val="20"/>
                <w:szCs w:val="20"/>
              </w:rPr>
            </w:pPr>
            <w:r w:rsidRPr="006967ED">
              <w:rPr>
                <w:rFonts w:eastAsia="Times New Roman" w:cs="Arial"/>
                <w:bCs/>
                <w:iCs/>
                <w:sz w:val="20"/>
                <w:szCs w:val="20"/>
                <w:lang w:eastAsia="en-GB"/>
              </w:rPr>
              <w:t>The Board were updated on the management development programme</w:t>
            </w:r>
            <w:r>
              <w:rPr>
                <w:rFonts w:eastAsia="Times New Roman" w:cs="Arial"/>
                <w:bCs/>
                <w:iCs/>
                <w:sz w:val="20"/>
                <w:szCs w:val="20"/>
                <w:lang w:eastAsia="en-GB"/>
              </w:rPr>
              <w:t>s. This included Olevi plus an i</w:t>
            </w:r>
            <w:r w:rsidRPr="006967ED">
              <w:rPr>
                <w:rFonts w:cs="Arial"/>
                <w:bCs/>
                <w:sz w:val="20"/>
                <w:szCs w:val="20"/>
              </w:rPr>
              <w:t xml:space="preserve">nternal development programme for all middle and senior managers </w:t>
            </w:r>
            <w:r>
              <w:rPr>
                <w:rFonts w:cs="Arial"/>
                <w:bCs/>
                <w:sz w:val="20"/>
                <w:szCs w:val="20"/>
              </w:rPr>
              <w:t>in LSC (67 staff)</w:t>
            </w:r>
            <w:r w:rsidRPr="006967ED">
              <w:rPr>
                <w:rFonts w:cs="Arial"/>
                <w:bCs/>
                <w:sz w:val="20"/>
                <w:szCs w:val="20"/>
              </w:rPr>
              <w:t xml:space="preserve">. The LSEC Core Leadership programme aims to build management consistency, improved leadership behaviours and build more collaborative working. </w:t>
            </w:r>
            <w:r>
              <w:rPr>
                <w:rFonts w:cs="Arial"/>
                <w:bCs/>
                <w:sz w:val="20"/>
                <w:szCs w:val="20"/>
              </w:rPr>
              <w:t>It was reported that o</w:t>
            </w:r>
            <w:r w:rsidRPr="006967ED">
              <w:rPr>
                <w:rFonts w:cs="Arial"/>
                <w:bCs/>
                <w:sz w:val="20"/>
                <w:szCs w:val="20"/>
              </w:rPr>
              <w:t xml:space="preserve">ver a 6-month period, from January to June 2022, </w:t>
            </w:r>
            <w:r w:rsidRPr="006967ED">
              <w:rPr>
                <w:rFonts w:cs="Arial"/>
                <w:bCs/>
                <w:sz w:val="20"/>
                <w:szCs w:val="20"/>
              </w:rPr>
              <w:lastRenderedPageBreak/>
              <w:t xml:space="preserve">managers will attend a series of developmental workshops as well as work on cross college projects, sponsored by a member of the Group Executive. </w:t>
            </w:r>
          </w:p>
          <w:p w14:paraId="02F3E1FA" w14:textId="77777777" w:rsidR="005D0D59" w:rsidRDefault="005D0D59" w:rsidP="007C1897">
            <w:pPr>
              <w:spacing w:after="0"/>
              <w:rPr>
                <w:rFonts w:cs="Arial"/>
                <w:bCs/>
                <w:sz w:val="20"/>
                <w:szCs w:val="20"/>
              </w:rPr>
            </w:pPr>
          </w:p>
          <w:p w14:paraId="6130DE74" w14:textId="77777777" w:rsidR="005D0D59" w:rsidRDefault="005D0D59" w:rsidP="007C1897">
            <w:pPr>
              <w:spacing w:after="0"/>
              <w:rPr>
                <w:rFonts w:cs="Arial"/>
                <w:bCs/>
                <w:sz w:val="20"/>
                <w:szCs w:val="20"/>
              </w:rPr>
            </w:pPr>
            <w:r>
              <w:rPr>
                <w:rFonts w:cs="Arial"/>
                <w:bCs/>
                <w:sz w:val="20"/>
                <w:szCs w:val="20"/>
              </w:rPr>
              <w:t>It was reported that a</w:t>
            </w:r>
            <w:r w:rsidRPr="006967ED">
              <w:rPr>
                <w:rFonts w:cs="Arial"/>
                <w:bCs/>
                <w:sz w:val="20"/>
                <w:szCs w:val="20"/>
              </w:rPr>
              <w:t xml:space="preserve">t the end of the programme in June there will be an opportunity for participants to share learning, present the results of their projects and consider further how the external environment effects the leadership of LSEC. </w:t>
            </w:r>
          </w:p>
          <w:p w14:paraId="2AD2EF8C" w14:textId="77777777" w:rsidR="005D0D59" w:rsidRPr="006967ED" w:rsidRDefault="005D0D59" w:rsidP="005C76D7">
            <w:pPr>
              <w:spacing w:after="0" w:line="240" w:lineRule="auto"/>
              <w:rPr>
                <w:rFonts w:cs="Arial"/>
                <w:bCs/>
                <w:sz w:val="20"/>
                <w:szCs w:val="20"/>
              </w:rPr>
            </w:pPr>
          </w:p>
          <w:p w14:paraId="793C8B73" w14:textId="77777777" w:rsidR="005D0D59" w:rsidRDefault="005D0D59" w:rsidP="00745B22">
            <w:pPr>
              <w:rPr>
                <w:rFonts w:cs="Arial"/>
                <w:bCs/>
                <w:sz w:val="20"/>
                <w:szCs w:val="20"/>
                <w:lang w:eastAsia="en-GB"/>
              </w:rPr>
            </w:pPr>
            <w:r>
              <w:rPr>
                <w:rFonts w:cs="Arial"/>
                <w:bCs/>
                <w:sz w:val="20"/>
                <w:szCs w:val="20"/>
                <w:lang w:eastAsia="en-GB"/>
              </w:rPr>
              <w:t>It was reported that a</w:t>
            </w:r>
            <w:r w:rsidRPr="006967ED">
              <w:rPr>
                <w:rFonts w:cs="Arial"/>
                <w:bCs/>
                <w:sz w:val="20"/>
                <w:szCs w:val="20"/>
                <w:lang w:eastAsia="en-GB"/>
              </w:rPr>
              <w:t xml:space="preserve">ll curriculum and senior managers have attended coaching training and in combination with the Core Leadership programme are developing their knowledge and skills to support colleagues to improve the culture and working practices across the college. The strategy for improving the quality assurance of teaching and learning has been adapted, and changes the focus of improvement, by adopting a ‘growing the top ‘strategy to improve teaching and learning, where we have an emphasis on improving our better teachers using the outstanding teacher programme (OTP). </w:t>
            </w:r>
          </w:p>
          <w:p w14:paraId="22BEA075" w14:textId="77777777" w:rsidR="005D0D59" w:rsidRDefault="005D0D59" w:rsidP="0090135A">
            <w:pPr>
              <w:rPr>
                <w:rFonts w:cs="Arial"/>
                <w:bCs/>
                <w:sz w:val="20"/>
                <w:szCs w:val="20"/>
                <w:lang w:eastAsia="en-GB"/>
              </w:rPr>
            </w:pPr>
            <w:r>
              <w:rPr>
                <w:rFonts w:cs="Arial"/>
                <w:bCs/>
                <w:sz w:val="20"/>
                <w:szCs w:val="20"/>
                <w:lang w:eastAsia="en-GB"/>
              </w:rPr>
              <w:t>It was reported that t</w:t>
            </w:r>
            <w:r w:rsidRPr="006967ED">
              <w:rPr>
                <w:rFonts w:cs="Arial"/>
                <w:bCs/>
                <w:sz w:val="20"/>
                <w:szCs w:val="20"/>
                <w:lang w:eastAsia="en-GB"/>
              </w:rPr>
              <w:t>he OTP will move our teachers forward, far beyond what they have been taught on a L5 qualification teaching qualification. They will have the opportunity to reflect and refine their teaching practice but also it will inspire them to see themselves, and act as, an outstanding leader of learning – growing those around them and thus reducing disparity in performance. This process will decrease the gap between our better and developing teachers</w:t>
            </w:r>
          </w:p>
          <w:p w14:paraId="201E9B85" w14:textId="677E1508" w:rsidR="005D0D59" w:rsidRPr="00A609E2" w:rsidRDefault="005D0D59" w:rsidP="00A609E2">
            <w:pPr>
              <w:rPr>
                <w:rFonts w:cs="Arial"/>
                <w:bCs/>
                <w:sz w:val="20"/>
                <w:szCs w:val="20"/>
                <w:lang w:eastAsia="en-GB"/>
              </w:rPr>
            </w:pPr>
            <w:r>
              <w:rPr>
                <w:rFonts w:cs="Arial"/>
                <w:bCs/>
                <w:sz w:val="20"/>
                <w:szCs w:val="20"/>
                <w:lang w:eastAsia="en-GB"/>
              </w:rPr>
              <w:t xml:space="preserve">The Board </w:t>
            </w:r>
            <w:r w:rsidRPr="00A609E2">
              <w:rPr>
                <w:rFonts w:cs="Arial"/>
                <w:b/>
                <w:sz w:val="20"/>
                <w:szCs w:val="20"/>
                <w:lang w:eastAsia="en-GB"/>
              </w:rPr>
              <w:t xml:space="preserve">NOTED </w:t>
            </w:r>
            <w:r>
              <w:rPr>
                <w:rFonts w:cs="Arial"/>
                <w:bCs/>
                <w:sz w:val="20"/>
                <w:szCs w:val="20"/>
                <w:lang w:eastAsia="en-GB"/>
              </w:rPr>
              <w:t xml:space="preserve">the verbal update. </w:t>
            </w:r>
          </w:p>
        </w:tc>
      </w:tr>
    </w:tbl>
    <w:p w14:paraId="62B75028" w14:textId="4B870C67" w:rsidR="000E674A" w:rsidRDefault="000E674A"/>
    <w:tbl>
      <w:tblPr>
        <w:tblStyle w:val="TableGrid"/>
        <w:tblW w:w="9640" w:type="dxa"/>
        <w:tblInd w:w="-5" w:type="dxa"/>
        <w:tblLayout w:type="fixed"/>
        <w:tblLook w:val="04A0" w:firstRow="1" w:lastRow="0" w:firstColumn="1" w:lastColumn="0" w:noHBand="0" w:noVBand="1"/>
      </w:tblPr>
      <w:tblGrid>
        <w:gridCol w:w="567"/>
        <w:gridCol w:w="4111"/>
        <w:gridCol w:w="3686"/>
        <w:gridCol w:w="567"/>
        <w:gridCol w:w="709"/>
      </w:tblGrid>
      <w:tr w:rsidR="009E27BD" w:rsidRPr="00C97BF1" w14:paraId="5FAA7D66" w14:textId="77777777" w:rsidTr="009E27BD">
        <w:trPr>
          <w:trHeight w:val="210"/>
        </w:trPr>
        <w:tc>
          <w:tcPr>
            <w:tcW w:w="4678" w:type="dxa"/>
            <w:gridSpan w:val="2"/>
            <w:shd w:val="clear" w:color="auto" w:fill="C5E0B3" w:themeFill="accent6" w:themeFillTint="66"/>
            <w:vAlign w:val="center"/>
          </w:tcPr>
          <w:p w14:paraId="01C62F95" w14:textId="7B704130" w:rsidR="009E27BD" w:rsidRPr="00C97BF1" w:rsidRDefault="009E27BD" w:rsidP="00EF2115">
            <w:pPr>
              <w:pStyle w:val="ListParagraph"/>
              <w:spacing w:before="60" w:after="60"/>
              <w:ind w:left="0"/>
              <w:rPr>
                <w:rFonts w:cs="Arial"/>
                <w:sz w:val="20"/>
                <w:szCs w:val="20"/>
              </w:rPr>
            </w:pPr>
            <w:r w:rsidRPr="00C97BF1">
              <w:rPr>
                <w:rFonts w:cs="Arial"/>
                <w:b/>
                <w:bCs/>
                <w:sz w:val="20"/>
                <w:szCs w:val="20"/>
              </w:rPr>
              <w:t xml:space="preserve">C. Board Development </w:t>
            </w:r>
          </w:p>
        </w:tc>
        <w:tc>
          <w:tcPr>
            <w:tcW w:w="3686" w:type="dxa"/>
            <w:shd w:val="clear" w:color="auto" w:fill="C5E0B3" w:themeFill="accent6" w:themeFillTint="66"/>
            <w:vAlign w:val="center"/>
          </w:tcPr>
          <w:p w14:paraId="6ED6CDC2" w14:textId="077044F6" w:rsidR="009E27BD" w:rsidRPr="00C97BF1" w:rsidRDefault="009E27BD" w:rsidP="00EF2115">
            <w:pPr>
              <w:pStyle w:val="ListParagraph"/>
              <w:spacing w:before="60" w:after="60"/>
              <w:ind w:left="0"/>
              <w:rPr>
                <w:rFonts w:cs="Arial"/>
                <w:b/>
                <w:bCs/>
                <w:sz w:val="20"/>
                <w:szCs w:val="20"/>
              </w:rPr>
            </w:pPr>
            <w:r w:rsidRPr="00C97BF1">
              <w:rPr>
                <w:rFonts w:cs="Arial"/>
                <w:b/>
                <w:bCs/>
                <w:sz w:val="20"/>
                <w:szCs w:val="20"/>
              </w:rPr>
              <w:t xml:space="preserve">(90 mins) </w:t>
            </w:r>
          </w:p>
        </w:tc>
        <w:tc>
          <w:tcPr>
            <w:tcW w:w="567" w:type="dxa"/>
            <w:shd w:val="clear" w:color="auto" w:fill="C5E0B3" w:themeFill="accent6" w:themeFillTint="66"/>
            <w:vAlign w:val="center"/>
          </w:tcPr>
          <w:p w14:paraId="41A07FEA" w14:textId="77777777" w:rsidR="009E27BD" w:rsidRPr="00C97BF1" w:rsidRDefault="009E27BD" w:rsidP="00EF2115">
            <w:pPr>
              <w:pStyle w:val="ListParagraph"/>
              <w:spacing w:before="60" w:after="60"/>
              <w:ind w:left="0"/>
              <w:rPr>
                <w:rFonts w:cs="Arial"/>
                <w:sz w:val="20"/>
                <w:szCs w:val="20"/>
              </w:rPr>
            </w:pPr>
          </w:p>
        </w:tc>
        <w:tc>
          <w:tcPr>
            <w:tcW w:w="709" w:type="dxa"/>
            <w:shd w:val="clear" w:color="auto" w:fill="C5E0B3" w:themeFill="accent6" w:themeFillTint="66"/>
            <w:vAlign w:val="center"/>
          </w:tcPr>
          <w:p w14:paraId="45581856" w14:textId="77777777" w:rsidR="009E27BD" w:rsidRPr="00C97BF1" w:rsidRDefault="009E27BD" w:rsidP="00EF2115">
            <w:pPr>
              <w:pStyle w:val="ListParagraph"/>
              <w:spacing w:before="60" w:after="60"/>
              <w:ind w:left="0"/>
              <w:rPr>
                <w:rFonts w:cs="Arial"/>
                <w:sz w:val="20"/>
                <w:szCs w:val="20"/>
              </w:rPr>
            </w:pPr>
          </w:p>
        </w:tc>
      </w:tr>
      <w:tr w:rsidR="009E27BD" w:rsidRPr="00C97BF1" w14:paraId="3EEAD17F" w14:textId="77777777" w:rsidTr="009E27BD">
        <w:trPr>
          <w:trHeight w:val="539"/>
        </w:trPr>
        <w:tc>
          <w:tcPr>
            <w:tcW w:w="567" w:type="dxa"/>
            <w:shd w:val="clear" w:color="auto" w:fill="auto"/>
            <w:vAlign w:val="center"/>
          </w:tcPr>
          <w:p w14:paraId="12D0359D" w14:textId="129BFA91" w:rsidR="009E27BD" w:rsidRPr="00C97BF1" w:rsidRDefault="009E27BD" w:rsidP="00EF2115">
            <w:pPr>
              <w:pStyle w:val="ListParagraph"/>
              <w:spacing w:before="60" w:after="60"/>
              <w:ind w:left="0"/>
              <w:rPr>
                <w:rFonts w:cs="Arial"/>
                <w:sz w:val="20"/>
                <w:szCs w:val="20"/>
              </w:rPr>
            </w:pPr>
            <w:r w:rsidRPr="00C97BF1">
              <w:rPr>
                <w:rFonts w:cs="Arial"/>
                <w:sz w:val="20"/>
                <w:szCs w:val="20"/>
              </w:rPr>
              <w:t>C1</w:t>
            </w:r>
          </w:p>
        </w:tc>
        <w:tc>
          <w:tcPr>
            <w:tcW w:w="4111" w:type="dxa"/>
            <w:shd w:val="clear" w:color="auto" w:fill="auto"/>
            <w:vAlign w:val="center"/>
          </w:tcPr>
          <w:p w14:paraId="37A6CD70" w14:textId="7BEFC3D6" w:rsidR="009E27BD" w:rsidRPr="00C97BF1" w:rsidRDefault="009E27BD" w:rsidP="00EF2115">
            <w:pPr>
              <w:pStyle w:val="ListParagraph"/>
              <w:spacing w:before="60" w:after="60"/>
              <w:ind w:left="0"/>
              <w:rPr>
                <w:rFonts w:cs="Arial"/>
                <w:sz w:val="20"/>
                <w:szCs w:val="20"/>
              </w:rPr>
            </w:pPr>
            <w:r w:rsidRPr="00C97BF1">
              <w:rPr>
                <w:rFonts w:cs="Arial"/>
                <w:sz w:val="20"/>
                <w:szCs w:val="20"/>
              </w:rPr>
              <w:t xml:space="preserve">Post 16 Skills Bill </w:t>
            </w:r>
          </w:p>
        </w:tc>
        <w:tc>
          <w:tcPr>
            <w:tcW w:w="3686" w:type="dxa"/>
            <w:shd w:val="clear" w:color="auto" w:fill="auto"/>
            <w:vAlign w:val="center"/>
          </w:tcPr>
          <w:p w14:paraId="15241D1A" w14:textId="045B0A95" w:rsidR="009E27BD" w:rsidRPr="00C97BF1" w:rsidRDefault="009E27BD" w:rsidP="00EF2115">
            <w:pPr>
              <w:pStyle w:val="ListParagraph"/>
              <w:spacing w:before="60" w:after="60"/>
              <w:ind w:left="0"/>
              <w:rPr>
                <w:rFonts w:cs="Arial"/>
                <w:sz w:val="20"/>
                <w:szCs w:val="20"/>
              </w:rPr>
            </w:pPr>
            <w:r w:rsidRPr="00C97BF1">
              <w:rPr>
                <w:rFonts w:cs="Arial"/>
                <w:sz w:val="20"/>
                <w:szCs w:val="20"/>
              </w:rPr>
              <w:t>Presentation &amp; Q&amp;A</w:t>
            </w:r>
          </w:p>
        </w:tc>
        <w:tc>
          <w:tcPr>
            <w:tcW w:w="567" w:type="dxa"/>
            <w:shd w:val="clear" w:color="auto" w:fill="auto"/>
            <w:vAlign w:val="center"/>
          </w:tcPr>
          <w:p w14:paraId="16C7F8B0" w14:textId="3EF91862" w:rsidR="009E27BD" w:rsidRPr="00C97BF1" w:rsidRDefault="00A43845" w:rsidP="00EF2115">
            <w:pPr>
              <w:pStyle w:val="ListParagraph"/>
              <w:spacing w:before="60" w:after="60"/>
              <w:ind w:left="0"/>
              <w:rPr>
                <w:rFonts w:cs="Arial"/>
                <w:sz w:val="20"/>
                <w:szCs w:val="20"/>
              </w:rPr>
            </w:pPr>
            <w:r>
              <w:rPr>
                <w:rFonts w:cs="Arial"/>
                <w:sz w:val="20"/>
                <w:szCs w:val="20"/>
              </w:rPr>
              <w:t>V</w:t>
            </w:r>
          </w:p>
        </w:tc>
        <w:tc>
          <w:tcPr>
            <w:tcW w:w="709" w:type="dxa"/>
            <w:shd w:val="clear" w:color="auto" w:fill="auto"/>
            <w:vAlign w:val="center"/>
          </w:tcPr>
          <w:p w14:paraId="257D3900" w14:textId="5EF4C908" w:rsidR="009E27BD" w:rsidRPr="00C97BF1" w:rsidRDefault="009E27BD" w:rsidP="00EF2115">
            <w:pPr>
              <w:pStyle w:val="ListParagraph"/>
              <w:spacing w:before="60" w:after="60"/>
              <w:ind w:left="0"/>
              <w:rPr>
                <w:rFonts w:cs="Arial"/>
                <w:sz w:val="20"/>
                <w:szCs w:val="20"/>
              </w:rPr>
            </w:pPr>
            <w:r w:rsidRPr="00C97BF1">
              <w:rPr>
                <w:rFonts w:cs="Arial"/>
                <w:sz w:val="20"/>
                <w:szCs w:val="20"/>
              </w:rPr>
              <w:t>SP</w:t>
            </w:r>
          </w:p>
        </w:tc>
      </w:tr>
      <w:tr w:rsidR="00A609E2" w:rsidRPr="00C97BF1" w14:paraId="1B493EE6" w14:textId="77777777" w:rsidTr="00653AD6">
        <w:trPr>
          <w:trHeight w:val="539"/>
        </w:trPr>
        <w:tc>
          <w:tcPr>
            <w:tcW w:w="567" w:type="dxa"/>
            <w:shd w:val="clear" w:color="auto" w:fill="auto"/>
            <w:vAlign w:val="center"/>
          </w:tcPr>
          <w:p w14:paraId="72339349" w14:textId="77777777" w:rsidR="00A609E2" w:rsidRPr="00C97BF1" w:rsidRDefault="00A609E2" w:rsidP="00EF2115">
            <w:pPr>
              <w:pStyle w:val="ListParagraph"/>
              <w:spacing w:before="60" w:after="60"/>
              <w:ind w:left="0"/>
              <w:rPr>
                <w:rFonts w:cs="Arial"/>
                <w:sz w:val="20"/>
                <w:szCs w:val="20"/>
              </w:rPr>
            </w:pPr>
          </w:p>
        </w:tc>
        <w:tc>
          <w:tcPr>
            <w:tcW w:w="9073" w:type="dxa"/>
            <w:gridSpan w:val="4"/>
            <w:shd w:val="clear" w:color="auto" w:fill="auto"/>
            <w:vAlign w:val="center"/>
          </w:tcPr>
          <w:p w14:paraId="0DB63CE8" w14:textId="77777777" w:rsidR="00A609E2" w:rsidRDefault="00A609E2" w:rsidP="00EF2115">
            <w:pPr>
              <w:pStyle w:val="ListParagraph"/>
              <w:spacing w:before="60" w:after="60"/>
              <w:ind w:left="0"/>
              <w:rPr>
                <w:rFonts w:cs="Arial"/>
                <w:sz w:val="20"/>
                <w:szCs w:val="20"/>
              </w:rPr>
            </w:pPr>
            <w:r>
              <w:rPr>
                <w:rFonts w:cs="Arial"/>
                <w:sz w:val="20"/>
                <w:szCs w:val="20"/>
              </w:rPr>
              <w:t xml:space="preserve">The Board were presented with details of the pending Post 16 Skills Bill, including the qualification reforms, new entitlements, Local Skills improvement Plans and working with employers and local chambers to develop curriculum for the future. </w:t>
            </w:r>
          </w:p>
          <w:p w14:paraId="234B4D5A" w14:textId="77777777" w:rsidR="00A609E2" w:rsidRDefault="00A609E2" w:rsidP="00EF2115">
            <w:pPr>
              <w:pStyle w:val="ListParagraph"/>
              <w:spacing w:before="60" w:after="60"/>
              <w:ind w:left="0"/>
              <w:rPr>
                <w:rFonts w:cs="Arial"/>
                <w:sz w:val="20"/>
                <w:szCs w:val="20"/>
              </w:rPr>
            </w:pPr>
          </w:p>
          <w:p w14:paraId="79F73215" w14:textId="4119F70A" w:rsidR="00A609E2" w:rsidRPr="00C97BF1" w:rsidRDefault="00A609E2" w:rsidP="00EF2115">
            <w:pPr>
              <w:pStyle w:val="ListParagraph"/>
              <w:spacing w:before="60" w:after="60"/>
              <w:ind w:left="0"/>
              <w:rPr>
                <w:rFonts w:cs="Arial"/>
                <w:sz w:val="20"/>
                <w:szCs w:val="20"/>
              </w:rPr>
            </w:pPr>
            <w:r>
              <w:rPr>
                <w:rFonts w:cs="Arial"/>
                <w:sz w:val="20"/>
                <w:szCs w:val="20"/>
              </w:rPr>
              <w:t xml:space="preserve">The Board discussed the additional complexities around the economic and political landscape of London.  </w:t>
            </w:r>
          </w:p>
        </w:tc>
      </w:tr>
      <w:tr w:rsidR="009E27BD" w:rsidRPr="00A609E2" w14:paraId="0AA40914" w14:textId="77777777" w:rsidTr="009E27BD">
        <w:trPr>
          <w:trHeight w:val="495"/>
        </w:trPr>
        <w:tc>
          <w:tcPr>
            <w:tcW w:w="567" w:type="dxa"/>
            <w:shd w:val="clear" w:color="auto" w:fill="auto"/>
            <w:vAlign w:val="center"/>
          </w:tcPr>
          <w:p w14:paraId="588EAB22" w14:textId="240571A9" w:rsidR="009E27BD" w:rsidRPr="00A609E2" w:rsidRDefault="009E27BD" w:rsidP="00EF2115">
            <w:pPr>
              <w:pStyle w:val="ListParagraph"/>
              <w:spacing w:before="60" w:after="60"/>
              <w:ind w:left="0"/>
              <w:rPr>
                <w:rFonts w:cs="Arial"/>
                <w:b/>
                <w:bCs/>
                <w:sz w:val="20"/>
                <w:szCs w:val="20"/>
              </w:rPr>
            </w:pPr>
            <w:r w:rsidRPr="00A609E2">
              <w:rPr>
                <w:rFonts w:cs="Arial"/>
                <w:b/>
                <w:bCs/>
                <w:sz w:val="20"/>
                <w:szCs w:val="20"/>
              </w:rPr>
              <w:t>C2</w:t>
            </w:r>
          </w:p>
        </w:tc>
        <w:tc>
          <w:tcPr>
            <w:tcW w:w="4111" w:type="dxa"/>
            <w:shd w:val="clear" w:color="auto" w:fill="auto"/>
            <w:vAlign w:val="center"/>
          </w:tcPr>
          <w:p w14:paraId="7448281E" w14:textId="11289A7B" w:rsidR="009E27BD" w:rsidRPr="00A609E2" w:rsidRDefault="009E27BD" w:rsidP="00EF2115">
            <w:pPr>
              <w:pStyle w:val="ListParagraph"/>
              <w:spacing w:before="60" w:after="60"/>
              <w:ind w:left="0"/>
              <w:rPr>
                <w:rFonts w:cs="Arial"/>
                <w:b/>
                <w:bCs/>
                <w:sz w:val="20"/>
                <w:szCs w:val="20"/>
              </w:rPr>
            </w:pPr>
            <w:r w:rsidRPr="00A609E2">
              <w:rPr>
                <w:rFonts w:cs="Arial"/>
                <w:b/>
                <w:bCs/>
                <w:sz w:val="20"/>
                <w:szCs w:val="20"/>
              </w:rPr>
              <w:t>LSEC Digital Strategy 2.0</w:t>
            </w:r>
          </w:p>
        </w:tc>
        <w:tc>
          <w:tcPr>
            <w:tcW w:w="3686" w:type="dxa"/>
            <w:shd w:val="clear" w:color="auto" w:fill="auto"/>
            <w:vAlign w:val="center"/>
          </w:tcPr>
          <w:p w14:paraId="6FD4CBE3" w14:textId="7360F1DD" w:rsidR="009E27BD" w:rsidRPr="00A609E2" w:rsidRDefault="009E27BD" w:rsidP="00EF2115">
            <w:pPr>
              <w:pStyle w:val="ListParagraph"/>
              <w:spacing w:before="60" w:after="60"/>
              <w:ind w:left="0"/>
              <w:rPr>
                <w:rFonts w:cs="Arial"/>
                <w:b/>
                <w:bCs/>
                <w:sz w:val="20"/>
                <w:szCs w:val="20"/>
              </w:rPr>
            </w:pPr>
            <w:r w:rsidRPr="00A609E2">
              <w:rPr>
                <w:rFonts w:cs="Arial"/>
                <w:b/>
                <w:bCs/>
                <w:sz w:val="20"/>
                <w:szCs w:val="20"/>
              </w:rPr>
              <w:t xml:space="preserve">Presentation &amp; Q&amp;A </w:t>
            </w:r>
          </w:p>
        </w:tc>
        <w:tc>
          <w:tcPr>
            <w:tcW w:w="567" w:type="dxa"/>
            <w:shd w:val="clear" w:color="auto" w:fill="auto"/>
            <w:vAlign w:val="center"/>
          </w:tcPr>
          <w:p w14:paraId="519EB79A" w14:textId="4BDA110C" w:rsidR="009E27BD" w:rsidRPr="00A609E2" w:rsidRDefault="00A43845" w:rsidP="00EF2115">
            <w:pPr>
              <w:pStyle w:val="ListParagraph"/>
              <w:spacing w:before="60" w:after="60"/>
              <w:ind w:left="0"/>
              <w:rPr>
                <w:rFonts w:cs="Arial"/>
                <w:b/>
                <w:bCs/>
                <w:sz w:val="20"/>
                <w:szCs w:val="20"/>
              </w:rPr>
            </w:pPr>
            <w:r w:rsidRPr="00A609E2">
              <w:rPr>
                <w:rFonts w:cs="Arial"/>
                <w:b/>
                <w:bCs/>
                <w:sz w:val="20"/>
                <w:szCs w:val="20"/>
              </w:rPr>
              <w:t>V</w:t>
            </w:r>
          </w:p>
        </w:tc>
        <w:tc>
          <w:tcPr>
            <w:tcW w:w="709" w:type="dxa"/>
            <w:shd w:val="clear" w:color="auto" w:fill="auto"/>
            <w:vAlign w:val="center"/>
          </w:tcPr>
          <w:p w14:paraId="50F67DC3" w14:textId="5CAE81F3" w:rsidR="009E27BD" w:rsidRPr="00A609E2" w:rsidRDefault="009E27BD" w:rsidP="00EF2115">
            <w:pPr>
              <w:pStyle w:val="ListParagraph"/>
              <w:spacing w:before="60" w:after="60"/>
              <w:ind w:left="0"/>
              <w:rPr>
                <w:rFonts w:cs="Arial"/>
                <w:b/>
                <w:bCs/>
                <w:sz w:val="20"/>
                <w:szCs w:val="20"/>
              </w:rPr>
            </w:pPr>
            <w:r w:rsidRPr="00A609E2">
              <w:rPr>
                <w:rFonts w:cs="Arial"/>
                <w:b/>
                <w:bCs/>
                <w:sz w:val="20"/>
                <w:szCs w:val="20"/>
              </w:rPr>
              <w:t>DL</w:t>
            </w:r>
          </w:p>
        </w:tc>
      </w:tr>
      <w:tr w:rsidR="00A609E2" w:rsidRPr="00C97BF1" w14:paraId="2C29E396" w14:textId="77777777" w:rsidTr="00DB496C">
        <w:trPr>
          <w:trHeight w:val="495"/>
        </w:trPr>
        <w:tc>
          <w:tcPr>
            <w:tcW w:w="567" w:type="dxa"/>
            <w:shd w:val="clear" w:color="auto" w:fill="auto"/>
            <w:vAlign w:val="center"/>
          </w:tcPr>
          <w:p w14:paraId="38F26F4A" w14:textId="77777777" w:rsidR="00A609E2" w:rsidRPr="00C97BF1" w:rsidRDefault="00A609E2" w:rsidP="00EF2115">
            <w:pPr>
              <w:pStyle w:val="ListParagraph"/>
              <w:spacing w:before="60" w:after="60"/>
              <w:ind w:left="0"/>
              <w:rPr>
                <w:rFonts w:cs="Arial"/>
                <w:sz w:val="20"/>
                <w:szCs w:val="20"/>
              </w:rPr>
            </w:pPr>
          </w:p>
        </w:tc>
        <w:tc>
          <w:tcPr>
            <w:tcW w:w="9073" w:type="dxa"/>
            <w:gridSpan w:val="4"/>
            <w:shd w:val="clear" w:color="auto" w:fill="auto"/>
            <w:vAlign w:val="center"/>
          </w:tcPr>
          <w:p w14:paraId="181EFFDF" w14:textId="77777777" w:rsidR="00A609E2" w:rsidRDefault="00A609E2" w:rsidP="00EF2115">
            <w:pPr>
              <w:pStyle w:val="ListParagraph"/>
              <w:spacing w:before="60" w:after="60"/>
              <w:ind w:left="0"/>
              <w:rPr>
                <w:rFonts w:cs="Arial"/>
                <w:sz w:val="20"/>
                <w:szCs w:val="20"/>
              </w:rPr>
            </w:pPr>
            <w:r>
              <w:rPr>
                <w:rFonts w:cs="Arial"/>
                <w:sz w:val="20"/>
                <w:szCs w:val="20"/>
              </w:rPr>
              <w:t>The Board received a presentation on the future Digital Strategy 2.0.</w:t>
            </w:r>
          </w:p>
          <w:p w14:paraId="784AC0BC" w14:textId="77777777" w:rsidR="00A609E2" w:rsidRDefault="00A609E2" w:rsidP="00EF2115">
            <w:pPr>
              <w:pStyle w:val="ListParagraph"/>
              <w:spacing w:before="60" w:after="60"/>
              <w:ind w:left="0"/>
              <w:rPr>
                <w:rFonts w:cs="Arial"/>
                <w:sz w:val="20"/>
                <w:szCs w:val="20"/>
              </w:rPr>
            </w:pPr>
          </w:p>
          <w:p w14:paraId="72F7EC1C" w14:textId="5FBDECAE" w:rsidR="00A609E2" w:rsidRPr="00C97BF1" w:rsidRDefault="00A609E2" w:rsidP="00EF2115">
            <w:pPr>
              <w:pStyle w:val="ListParagraph"/>
              <w:spacing w:before="60" w:after="60"/>
              <w:ind w:left="0"/>
              <w:rPr>
                <w:rFonts w:cs="Arial"/>
                <w:sz w:val="20"/>
                <w:szCs w:val="20"/>
              </w:rPr>
            </w:pPr>
            <w:r>
              <w:rPr>
                <w:rFonts w:cs="Arial"/>
                <w:sz w:val="20"/>
                <w:szCs w:val="20"/>
              </w:rPr>
              <w:t xml:space="preserve">The Board discussed the presentation and were excited by the revolutionary concepts and ideas presented. </w:t>
            </w:r>
          </w:p>
        </w:tc>
      </w:tr>
      <w:tr w:rsidR="009E27BD" w:rsidRPr="00A609E2" w14:paraId="4AF3D425" w14:textId="77777777" w:rsidTr="009E27BD">
        <w:trPr>
          <w:trHeight w:val="539"/>
        </w:trPr>
        <w:tc>
          <w:tcPr>
            <w:tcW w:w="567" w:type="dxa"/>
            <w:shd w:val="clear" w:color="auto" w:fill="auto"/>
            <w:vAlign w:val="center"/>
          </w:tcPr>
          <w:p w14:paraId="21D6DE7C" w14:textId="3657AE35" w:rsidR="009E27BD" w:rsidRPr="00A609E2" w:rsidRDefault="009E27BD" w:rsidP="00EF2115">
            <w:pPr>
              <w:pStyle w:val="ListParagraph"/>
              <w:spacing w:before="60" w:after="60"/>
              <w:ind w:left="0"/>
              <w:rPr>
                <w:rFonts w:cs="Arial"/>
                <w:b/>
                <w:bCs/>
                <w:sz w:val="20"/>
                <w:szCs w:val="20"/>
              </w:rPr>
            </w:pPr>
            <w:r w:rsidRPr="00A609E2">
              <w:rPr>
                <w:rFonts w:cs="Arial"/>
                <w:b/>
                <w:bCs/>
                <w:sz w:val="20"/>
                <w:szCs w:val="20"/>
              </w:rPr>
              <w:t>C3</w:t>
            </w:r>
          </w:p>
        </w:tc>
        <w:tc>
          <w:tcPr>
            <w:tcW w:w="4111" w:type="dxa"/>
            <w:shd w:val="clear" w:color="auto" w:fill="auto"/>
            <w:vAlign w:val="center"/>
          </w:tcPr>
          <w:p w14:paraId="4B220DC4" w14:textId="5AEB09AA" w:rsidR="009E27BD" w:rsidRPr="00A609E2" w:rsidRDefault="009E27BD" w:rsidP="00EF2115">
            <w:pPr>
              <w:pStyle w:val="ListParagraph"/>
              <w:spacing w:before="60" w:after="60"/>
              <w:ind w:left="0"/>
              <w:rPr>
                <w:rFonts w:cs="Arial"/>
                <w:b/>
                <w:bCs/>
                <w:sz w:val="20"/>
                <w:szCs w:val="20"/>
              </w:rPr>
            </w:pPr>
            <w:r w:rsidRPr="00A609E2">
              <w:rPr>
                <w:rFonts w:cs="Arial"/>
                <w:b/>
                <w:bCs/>
                <w:sz w:val="20"/>
                <w:szCs w:val="20"/>
              </w:rPr>
              <w:t xml:space="preserve">College Funding </w:t>
            </w:r>
          </w:p>
        </w:tc>
        <w:tc>
          <w:tcPr>
            <w:tcW w:w="3686" w:type="dxa"/>
            <w:shd w:val="clear" w:color="auto" w:fill="auto"/>
            <w:vAlign w:val="center"/>
          </w:tcPr>
          <w:p w14:paraId="153E3E7F" w14:textId="587DD2DE" w:rsidR="009E27BD" w:rsidRPr="00A609E2" w:rsidRDefault="009E27BD" w:rsidP="00EF2115">
            <w:pPr>
              <w:pStyle w:val="ListParagraph"/>
              <w:spacing w:before="60" w:after="60"/>
              <w:ind w:left="0"/>
              <w:rPr>
                <w:rFonts w:cs="Arial"/>
                <w:b/>
                <w:bCs/>
                <w:sz w:val="20"/>
                <w:szCs w:val="20"/>
              </w:rPr>
            </w:pPr>
            <w:r w:rsidRPr="00A609E2">
              <w:rPr>
                <w:rFonts w:cs="Arial"/>
                <w:b/>
                <w:bCs/>
                <w:sz w:val="20"/>
                <w:szCs w:val="20"/>
              </w:rPr>
              <w:t>Presentation &amp; Q&amp;A</w:t>
            </w:r>
          </w:p>
        </w:tc>
        <w:tc>
          <w:tcPr>
            <w:tcW w:w="567" w:type="dxa"/>
            <w:shd w:val="clear" w:color="auto" w:fill="auto"/>
            <w:vAlign w:val="center"/>
          </w:tcPr>
          <w:p w14:paraId="0FF038ED" w14:textId="5A757EAD" w:rsidR="009E27BD" w:rsidRPr="00A609E2" w:rsidRDefault="00A43845" w:rsidP="00EF2115">
            <w:pPr>
              <w:pStyle w:val="ListParagraph"/>
              <w:spacing w:before="60" w:after="60"/>
              <w:ind w:left="0"/>
              <w:rPr>
                <w:rFonts w:cs="Arial"/>
                <w:b/>
                <w:bCs/>
                <w:sz w:val="20"/>
                <w:szCs w:val="20"/>
              </w:rPr>
            </w:pPr>
            <w:r w:rsidRPr="00A609E2">
              <w:rPr>
                <w:rFonts w:cs="Arial"/>
                <w:b/>
                <w:bCs/>
                <w:sz w:val="20"/>
                <w:szCs w:val="20"/>
              </w:rPr>
              <w:t>V</w:t>
            </w:r>
          </w:p>
        </w:tc>
        <w:tc>
          <w:tcPr>
            <w:tcW w:w="709" w:type="dxa"/>
            <w:shd w:val="clear" w:color="auto" w:fill="auto"/>
            <w:vAlign w:val="center"/>
          </w:tcPr>
          <w:p w14:paraId="0DC484B6" w14:textId="42863211" w:rsidR="009E27BD" w:rsidRPr="00A609E2" w:rsidRDefault="009E27BD" w:rsidP="00EF2115">
            <w:pPr>
              <w:pStyle w:val="ListParagraph"/>
              <w:spacing w:before="60" w:after="60"/>
              <w:ind w:left="0"/>
              <w:rPr>
                <w:rFonts w:cs="Arial"/>
                <w:b/>
                <w:bCs/>
                <w:sz w:val="20"/>
                <w:szCs w:val="20"/>
              </w:rPr>
            </w:pPr>
            <w:r w:rsidRPr="00A609E2">
              <w:rPr>
                <w:rFonts w:cs="Arial"/>
                <w:b/>
                <w:bCs/>
                <w:sz w:val="20"/>
                <w:szCs w:val="20"/>
              </w:rPr>
              <w:t>JH</w:t>
            </w:r>
          </w:p>
        </w:tc>
      </w:tr>
      <w:tr w:rsidR="00A609E2" w:rsidRPr="00C97BF1" w14:paraId="1DE68607" w14:textId="77777777" w:rsidTr="00E71BC7">
        <w:trPr>
          <w:trHeight w:val="539"/>
        </w:trPr>
        <w:tc>
          <w:tcPr>
            <w:tcW w:w="567" w:type="dxa"/>
            <w:shd w:val="clear" w:color="auto" w:fill="auto"/>
            <w:vAlign w:val="center"/>
          </w:tcPr>
          <w:p w14:paraId="3C9C43DD" w14:textId="77777777" w:rsidR="00A609E2" w:rsidRPr="00C97BF1" w:rsidRDefault="00A609E2" w:rsidP="00EF2115">
            <w:pPr>
              <w:pStyle w:val="ListParagraph"/>
              <w:spacing w:before="60" w:after="60"/>
              <w:ind w:left="0"/>
              <w:rPr>
                <w:rFonts w:cs="Arial"/>
                <w:sz w:val="20"/>
                <w:szCs w:val="20"/>
              </w:rPr>
            </w:pPr>
          </w:p>
        </w:tc>
        <w:tc>
          <w:tcPr>
            <w:tcW w:w="9073" w:type="dxa"/>
            <w:gridSpan w:val="4"/>
            <w:shd w:val="clear" w:color="auto" w:fill="auto"/>
            <w:vAlign w:val="center"/>
          </w:tcPr>
          <w:p w14:paraId="139EBB64" w14:textId="77777777" w:rsidR="00A609E2" w:rsidRDefault="00A609E2" w:rsidP="004E249C">
            <w:pPr>
              <w:pStyle w:val="ListParagraph"/>
              <w:spacing w:before="60" w:after="60"/>
              <w:ind w:left="0"/>
              <w:rPr>
                <w:rFonts w:cs="Arial"/>
                <w:sz w:val="20"/>
                <w:szCs w:val="20"/>
              </w:rPr>
            </w:pPr>
            <w:r>
              <w:rPr>
                <w:rFonts w:cs="Arial"/>
                <w:sz w:val="20"/>
                <w:szCs w:val="20"/>
              </w:rPr>
              <w:t>The Board received a presentation on College Funding.</w:t>
            </w:r>
          </w:p>
          <w:p w14:paraId="4B87A70C" w14:textId="77777777" w:rsidR="00A609E2" w:rsidRDefault="00A609E2" w:rsidP="00EF2115">
            <w:pPr>
              <w:pStyle w:val="ListParagraph"/>
              <w:spacing w:before="60" w:after="60"/>
              <w:ind w:left="0"/>
              <w:rPr>
                <w:rFonts w:cs="Arial"/>
                <w:sz w:val="20"/>
                <w:szCs w:val="20"/>
              </w:rPr>
            </w:pPr>
          </w:p>
          <w:p w14:paraId="71351EAB" w14:textId="2CE7D308" w:rsidR="00A609E2" w:rsidRPr="00C97BF1" w:rsidRDefault="00A609E2" w:rsidP="00EF2115">
            <w:pPr>
              <w:pStyle w:val="ListParagraph"/>
              <w:spacing w:before="60" w:after="60"/>
              <w:ind w:left="0"/>
              <w:rPr>
                <w:rFonts w:cs="Arial"/>
                <w:sz w:val="20"/>
                <w:szCs w:val="20"/>
              </w:rPr>
            </w:pPr>
            <w:r>
              <w:rPr>
                <w:rFonts w:cs="Arial"/>
                <w:sz w:val="20"/>
                <w:szCs w:val="20"/>
              </w:rPr>
              <w:t xml:space="preserve">The Board discussed the presentation and appreciated the complex nature of college funding across all provision types. </w:t>
            </w:r>
          </w:p>
        </w:tc>
      </w:tr>
    </w:tbl>
    <w:p w14:paraId="1974526C" w14:textId="77777777" w:rsidR="009E27BD" w:rsidRDefault="009E27BD" w:rsidP="009E27BD">
      <w:pPr>
        <w:spacing w:after="0"/>
        <w:rPr>
          <w:rFonts w:cs="Arial"/>
          <w:b/>
          <w:bCs/>
          <w:sz w:val="20"/>
          <w:szCs w:val="20"/>
        </w:rPr>
      </w:pPr>
    </w:p>
    <w:p w14:paraId="3239085C" w14:textId="465A8385" w:rsidR="00D43970" w:rsidRPr="00C97BF1" w:rsidRDefault="00B07D28" w:rsidP="009E27BD">
      <w:pPr>
        <w:spacing w:after="0"/>
        <w:rPr>
          <w:rFonts w:cs="Arial"/>
          <w:b/>
          <w:bCs/>
          <w:sz w:val="20"/>
          <w:szCs w:val="20"/>
        </w:rPr>
      </w:pPr>
      <w:proofErr w:type="gramStart"/>
      <w:r w:rsidRPr="00C97BF1">
        <w:rPr>
          <w:rFonts w:cs="Arial"/>
          <w:b/>
          <w:bCs/>
          <w:sz w:val="20"/>
          <w:szCs w:val="20"/>
        </w:rPr>
        <w:t>AOB</w:t>
      </w:r>
      <w:r w:rsidR="00E74CF8" w:rsidRPr="00C97BF1">
        <w:rPr>
          <w:rFonts w:cs="Arial"/>
          <w:b/>
          <w:bCs/>
          <w:sz w:val="20"/>
          <w:szCs w:val="20"/>
        </w:rPr>
        <w:t xml:space="preserve"> </w:t>
      </w:r>
      <w:r w:rsidR="00D43970" w:rsidRPr="00C97BF1">
        <w:rPr>
          <w:rFonts w:cs="Arial"/>
          <w:b/>
          <w:bCs/>
          <w:sz w:val="20"/>
          <w:szCs w:val="20"/>
        </w:rPr>
        <w:t>:</w:t>
      </w:r>
      <w:proofErr w:type="gramEnd"/>
      <w:r w:rsidR="00D43970" w:rsidRPr="00C97BF1">
        <w:rPr>
          <w:rFonts w:cs="Arial"/>
          <w:b/>
          <w:bCs/>
          <w:sz w:val="20"/>
          <w:szCs w:val="20"/>
        </w:rPr>
        <w:t xml:space="preserve"> </w:t>
      </w:r>
    </w:p>
    <w:p w14:paraId="6379BD2B" w14:textId="22766832" w:rsidR="00D43970" w:rsidRDefault="00D43970" w:rsidP="009E27BD">
      <w:pPr>
        <w:spacing w:after="0"/>
        <w:rPr>
          <w:rFonts w:cs="Arial"/>
          <w:b/>
          <w:bCs/>
          <w:sz w:val="20"/>
          <w:szCs w:val="20"/>
        </w:rPr>
      </w:pPr>
      <w:r w:rsidRPr="00C97BF1">
        <w:rPr>
          <w:rFonts w:cs="Arial"/>
          <w:sz w:val="20"/>
          <w:szCs w:val="20"/>
        </w:rPr>
        <w:t>Company Vehicle Policy</w:t>
      </w:r>
      <w:r w:rsidR="00F41271">
        <w:rPr>
          <w:rFonts w:cs="Arial"/>
          <w:sz w:val="20"/>
          <w:szCs w:val="20"/>
        </w:rPr>
        <w:t xml:space="preserve"> was presented for Approval.</w:t>
      </w:r>
      <w:r w:rsidR="008018F0">
        <w:rPr>
          <w:rFonts w:cs="Arial"/>
          <w:b/>
          <w:bCs/>
          <w:sz w:val="20"/>
          <w:szCs w:val="20"/>
        </w:rPr>
        <w:t xml:space="preserve">  </w:t>
      </w:r>
    </w:p>
    <w:p w14:paraId="70D7CF1E" w14:textId="4DDEBF89" w:rsidR="005F4467" w:rsidRPr="0014370C" w:rsidRDefault="007E7529" w:rsidP="009E27BD">
      <w:pPr>
        <w:spacing w:after="0"/>
        <w:rPr>
          <w:rFonts w:cs="Arial"/>
          <w:sz w:val="20"/>
          <w:szCs w:val="20"/>
        </w:rPr>
      </w:pPr>
      <w:r w:rsidRPr="0014370C">
        <w:rPr>
          <w:rFonts w:cs="Arial"/>
          <w:sz w:val="20"/>
          <w:szCs w:val="20"/>
        </w:rPr>
        <w:t xml:space="preserve">The Board were advised that the policy was essential to support </w:t>
      </w:r>
      <w:r w:rsidR="00BF48EB" w:rsidRPr="0014370C">
        <w:rPr>
          <w:rFonts w:cs="Arial"/>
          <w:sz w:val="20"/>
          <w:szCs w:val="20"/>
        </w:rPr>
        <w:t xml:space="preserve">certain key roles who travel across the College </w:t>
      </w:r>
      <w:r w:rsidR="0068088B">
        <w:rPr>
          <w:rFonts w:cs="Arial"/>
          <w:sz w:val="20"/>
          <w:szCs w:val="20"/>
        </w:rPr>
        <w:t>campuses</w:t>
      </w:r>
      <w:r w:rsidR="00BF48EB" w:rsidRPr="0014370C">
        <w:rPr>
          <w:rFonts w:cs="Arial"/>
          <w:sz w:val="20"/>
          <w:szCs w:val="20"/>
        </w:rPr>
        <w:t xml:space="preserve"> and </w:t>
      </w:r>
      <w:r w:rsidR="0068088B">
        <w:rPr>
          <w:rFonts w:cs="Arial"/>
          <w:sz w:val="20"/>
          <w:szCs w:val="20"/>
        </w:rPr>
        <w:t>s</w:t>
      </w:r>
      <w:r w:rsidR="00BF48EB" w:rsidRPr="0014370C">
        <w:rPr>
          <w:rFonts w:cs="Arial"/>
          <w:sz w:val="20"/>
          <w:szCs w:val="20"/>
        </w:rPr>
        <w:t>chool</w:t>
      </w:r>
      <w:r w:rsidR="0068088B">
        <w:rPr>
          <w:rFonts w:cs="Arial"/>
          <w:sz w:val="20"/>
          <w:szCs w:val="20"/>
        </w:rPr>
        <w:t xml:space="preserve"> site</w:t>
      </w:r>
      <w:r w:rsidR="00BF48EB" w:rsidRPr="0014370C">
        <w:rPr>
          <w:rFonts w:cs="Arial"/>
          <w:sz w:val="20"/>
          <w:szCs w:val="20"/>
        </w:rPr>
        <w:t xml:space="preserve">s.  </w:t>
      </w:r>
      <w:r w:rsidR="0014370C">
        <w:rPr>
          <w:rFonts w:cs="Arial"/>
          <w:sz w:val="20"/>
          <w:szCs w:val="20"/>
        </w:rPr>
        <w:t xml:space="preserve">The policy supports sustainability </w:t>
      </w:r>
      <w:r w:rsidR="00E4047A">
        <w:rPr>
          <w:rFonts w:cs="Arial"/>
          <w:sz w:val="20"/>
          <w:szCs w:val="20"/>
        </w:rPr>
        <w:t xml:space="preserve">and </w:t>
      </w:r>
      <w:r w:rsidR="002C0F9B">
        <w:rPr>
          <w:rFonts w:cs="Arial"/>
          <w:sz w:val="20"/>
          <w:szCs w:val="20"/>
        </w:rPr>
        <w:t>efficiencies. The Board APPROVED</w:t>
      </w:r>
      <w:r w:rsidR="0068088B">
        <w:rPr>
          <w:rFonts w:cs="Arial"/>
          <w:sz w:val="20"/>
          <w:szCs w:val="20"/>
        </w:rPr>
        <w:t xml:space="preserve"> the Policy. </w:t>
      </w:r>
    </w:p>
    <w:p w14:paraId="3B4EEBD1" w14:textId="71E0ACAF" w:rsidR="00BB4C56" w:rsidRPr="00C97BF1" w:rsidRDefault="00E74CF8" w:rsidP="00BB4C56">
      <w:pPr>
        <w:spacing w:before="120" w:after="240"/>
        <w:rPr>
          <w:b/>
          <w:bCs/>
          <w:sz w:val="20"/>
          <w:szCs w:val="20"/>
        </w:rPr>
      </w:pPr>
      <w:r w:rsidRPr="00C97BF1">
        <w:rPr>
          <w:rFonts w:cs="Arial"/>
          <w:b/>
          <w:bCs/>
          <w:sz w:val="20"/>
          <w:szCs w:val="20"/>
        </w:rPr>
        <w:t>Date of next</w:t>
      </w:r>
      <w:r w:rsidR="00B07D28" w:rsidRPr="00C97BF1">
        <w:rPr>
          <w:rFonts w:cs="Arial"/>
          <w:b/>
          <w:bCs/>
          <w:sz w:val="20"/>
          <w:szCs w:val="20"/>
        </w:rPr>
        <w:t xml:space="preserve"> meeting </w:t>
      </w:r>
      <w:r w:rsidR="00981E03" w:rsidRPr="00C97BF1">
        <w:rPr>
          <w:rFonts w:cs="Arial"/>
          <w:b/>
          <w:bCs/>
          <w:sz w:val="20"/>
          <w:szCs w:val="20"/>
        </w:rPr>
        <w:t>date</w:t>
      </w:r>
      <w:r w:rsidR="000A7BEB" w:rsidRPr="00C97BF1">
        <w:rPr>
          <w:rFonts w:cs="Arial"/>
          <w:b/>
          <w:bCs/>
          <w:sz w:val="20"/>
          <w:szCs w:val="20"/>
        </w:rPr>
        <w:t xml:space="preserve">: </w:t>
      </w:r>
      <w:r w:rsidR="00E50718" w:rsidRPr="00C97BF1">
        <w:rPr>
          <w:rFonts w:cs="Arial"/>
          <w:b/>
          <w:bCs/>
          <w:sz w:val="20"/>
          <w:szCs w:val="20"/>
        </w:rPr>
        <w:t xml:space="preserve">Wednesday </w:t>
      </w:r>
      <w:r w:rsidR="00BB4C56" w:rsidRPr="00C97BF1">
        <w:rPr>
          <w:rFonts w:cs="Arial"/>
          <w:b/>
          <w:bCs/>
          <w:sz w:val="20"/>
          <w:szCs w:val="20"/>
        </w:rPr>
        <w:t>2</w:t>
      </w:r>
      <w:r w:rsidR="00744E68" w:rsidRPr="00C97BF1">
        <w:rPr>
          <w:rFonts w:cs="Arial"/>
          <w:b/>
          <w:bCs/>
          <w:sz w:val="20"/>
          <w:szCs w:val="20"/>
        </w:rPr>
        <w:t>3</w:t>
      </w:r>
      <w:r w:rsidR="00BB4C56" w:rsidRPr="00C97BF1">
        <w:rPr>
          <w:rFonts w:cs="Arial"/>
          <w:b/>
          <w:bCs/>
          <w:sz w:val="20"/>
          <w:szCs w:val="20"/>
        </w:rPr>
        <w:t xml:space="preserve"> March </w:t>
      </w:r>
      <w:r w:rsidR="005B009D" w:rsidRPr="00C97BF1">
        <w:rPr>
          <w:rFonts w:cs="Arial"/>
          <w:b/>
          <w:bCs/>
          <w:sz w:val="20"/>
          <w:szCs w:val="20"/>
        </w:rPr>
        <w:t>2022</w:t>
      </w:r>
    </w:p>
    <w:p w14:paraId="6DD7663F" w14:textId="00A0ED0C" w:rsidR="00BF1CC5" w:rsidRPr="00C97BF1" w:rsidRDefault="00223AC7" w:rsidP="00331585">
      <w:pPr>
        <w:spacing w:before="120" w:after="0"/>
        <w:rPr>
          <w:b/>
          <w:bCs/>
          <w:sz w:val="20"/>
          <w:szCs w:val="20"/>
        </w:rPr>
      </w:pPr>
      <w:r>
        <w:rPr>
          <w:b/>
          <w:bCs/>
          <w:sz w:val="20"/>
          <w:szCs w:val="20"/>
        </w:rPr>
        <w:br w:type="column"/>
      </w:r>
    </w:p>
    <w:p w14:paraId="57433125" w14:textId="4909E99D" w:rsidR="00A25A63" w:rsidRPr="00C97BF1" w:rsidRDefault="00C97BF1" w:rsidP="00331585">
      <w:pPr>
        <w:spacing w:before="120" w:after="0"/>
        <w:rPr>
          <w:b/>
          <w:bCs/>
          <w:sz w:val="20"/>
          <w:szCs w:val="20"/>
        </w:rPr>
      </w:pPr>
      <w:r w:rsidRPr="00C97BF1">
        <w:rPr>
          <w:b/>
          <w:bCs/>
          <w:sz w:val="20"/>
          <w:szCs w:val="20"/>
        </w:rPr>
        <w:t>Members of LSEC Corporation</w:t>
      </w:r>
      <w:r w:rsidR="0078713E" w:rsidRPr="00C97BF1">
        <w:rPr>
          <w:b/>
          <w:bCs/>
          <w:sz w:val="20"/>
          <w:szCs w:val="20"/>
        </w:rPr>
        <w:t>:</w:t>
      </w:r>
      <w:r w:rsidR="00A25A63" w:rsidRPr="00C97BF1">
        <w:rPr>
          <w:b/>
          <w:bCs/>
          <w:spacing w:val="-1"/>
          <w:sz w:val="20"/>
          <w:szCs w:val="20"/>
        </w:rPr>
        <w:tab/>
        <w:t xml:space="preserve"> </w:t>
      </w:r>
    </w:p>
    <w:p w14:paraId="587F33AA" w14:textId="6713C169" w:rsidR="00A25A63" w:rsidRPr="00C97BF1" w:rsidRDefault="008C4CC1" w:rsidP="00331585">
      <w:pPr>
        <w:shd w:val="clear" w:color="auto" w:fill="FFFFFF" w:themeFill="background1"/>
        <w:tabs>
          <w:tab w:val="left" w:pos="1843"/>
          <w:tab w:val="left" w:pos="4111"/>
        </w:tabs>
        <w:spacing w:after="0"/>
        <w:rPr>
          <w:b/>
          <w:spacing w:val="-1"/>
          <w:sz w:val="20"/>
          <w:szCs w:val="20"/>
        </w:rPr>
      </w:pPr>
      <w:r w:rsidRPr="00C97BF1">
        <w:rPr>
          <w:spacing w:val="-1"/>
          <w:sz w:val="20"/>
          <w:szCs w:val="20"/>
        </w:rPr>
        <w:t>David Eastgate (DE)</w:t>
      </w:r>
      <w:r w:rsidR="00A25A63" w:rsidRPr="00C97BF1">
        <w:rPr>
          <w:spacing w:val="-1"/>
          <w:sz w:val="20"/>
          <w:szCs w:val="20"/>
        </w:rPr>
        <w:tab/>
      </w:r>
      <w:r w:rsidR="00A43845">
        <w:rPr>
          <w:spacing w:val="-1"/>
          <w:sz w:val="20"/>
          <w:szCs w:val="20"/>
        </w:rPr>
        <w:tab/>
      </w:r>
      <w:r w:rsidR="00A25A63" w:rsidRPr="00C97BF1">
        <w:rPr>
          <w:spacing w:val="-1"/>
          <w:sz w:val="20"/>
          <w:szCs w:val="20"/>
        </w:rPr>
        <w:t xml:space="preserve">Chair </w:t>
      </w:r>
    </w:p>
    <w:p w14:paraId="0E7297ED" w14:textId="7AEC37C6" w:rsidR="00BB4C56" w:rsidRPr="00C97BF1" w:rsidRDefault="00BB4C56" w:rsidP="00BB4C56">
      <w:pPr>
        <w:shd w:val="clear" w:color="auto" w:fill="FFFFFF" w:themeFill="background1"/>
        <w:tabs>
          <w:tab w:val="left" w:pos="1843"/>
          <w:tab w:val="left" w:pos="4111"/>
        </w:tabs>
        <w:spacing w:after="0"/>
        <w:rPr>
          <w:b/>
          <w:sz w:val="20"/>
          <w:szCs w:val="20"/>
        </w:rPr>
      </w:pPr>
      <w:r w:rsidRPr="00C97BF1">
        <w:rPr>
          <w:sz w:val="20"/>
          <w:szCs w:val="20"/>
        </w:rPr>
        <w:t>Louise Nadal (LN)</w:t>
      </w:r>
      <w:r w:rsidRPr="00C97BF1">
        <w:rPr>
          <w:sz w:val="20"/>
          <w:szCs w:val="20"/>
        </w:rPr>
        <w:tab/>
      </w:r>
      <w:r w:rsidRPr="00C97BF1">
        <w:rPr>
          <w:sz w:val="20"/>
          <w:szCs w:val="20"/>
        </w:rPr>
        <w:tab/>
        <w:t>Vice Chair</w:t>
      </w:r>
      <w:r w:rsidR="006448A0">
        <w:rPr>
          <w:sz w:val="20"/>
          <w:szCs w:val="20"/>
        </w:rPr>
        <w:tab/>
      </w:r>
      <w:r w:rsidR="006448A0">
        <w:rPr>
          <w:sz w:val="20"/>
          <w:szCs w:val="20"/>
        </w:rPr>
        <w:tab/>
      </w:r>
      <w:r w:rsidR="006448A0">
        <w:rPr>
          <w:sz w:val="20"/>
          <w:szCs w:val="20"/>
        </w:rPr>
        <w:tab/>
        <w:t xml:space="preserve"> </w:t>
      </w:r>
      <w:r w:rsidR="006448A0">
        <w:rPr>
          <w:sz w:val="20"/>
          <w:szCs w:val="20"/>
        </w:rPr>
        <w:tab/>
      </w:r>
      <w:r w:rsidR="00132727">
        <w:rPr>
          <w:sz w:val="20"/>
          <w:szCs w:val="20"/>
        </w:rPr>
        <w:t>Left Early</w:t>
      </w:r>
    </w:p>
    <w:p w14:paraId="22EDED1B" w14:textId="194BC5A2" w:rsidR="00A25A63" w:rsidRPr="00C97BF1" w:rsidRDefault="00A25A63" w:rsidP="00A25A63">
      <w:pPr>
        <w:shd w:val="clear" w:color="auto" w:fill="FFFFFF" w:themeFill="background1"/>
        <w:tabs>
          <w:tab w:val="left" w:pos="1843"/>
          <w:tab w:val="left" w:pos="2835"/>
          <w:tab w:val="left" w:pos="4111"/>
        </w:tabs>
        <w:spacing w:after="0"/>
        <w:rPr>
          <w:b/>
          <w:spacing w:val="-1"/>
          <w:sz w:val="20"/>
          <w:szCs w:val="20"/>
        </w:rPr>
      </w:pPr>
      <w:r w:rsidRPr="00C97BF1">
        <w:rPr>
          <w:sz w:val="20"/>
          <w:szCs w:val="20"/>
        </w:rPr>
        <w:t xml:space="preserve">Dr Sam Parrett, </w:t>
      </w:r>
      <w:r w:rsidR="00410A94" w:rsidRPr="00C97BF1">
        <w:rPr>
          <w:sz w:val="20"/>
          <w:szCs w:val="20"/>
        </w:rPr>
        <w:t>C</w:t>
      </w:r>
      <w:r w:rsidRPr="00C97BF1">
        <w:rPr>
          <w:sz w:val="20"/>
          <w:szCs w:val="20"/>
        </w:rPr>
        <w:t>BE (SP)</w:t>
      </w:r>
      <w:r w:rsidRPr="00C97BF1">
        <w:rPr>
          <w:sz w:val="20"/>
          <w:szCs w:val="20"/>
        </w:rPr>
        <w:tab/>
      </w:r>
      <w:r w:rsidRPr="00C97BF1">
        <w:rPr>
          <w:sz w:val="20"/>
          <w:szCs w:val="20"/>
        </w:rPr>
        <w:tab/>
        <w:t>Group Principal &amp; CEO</w:t>
      </w:r>
    </w:p>
    <w:p w14:paraId="580F4EFF" w14:textId="77777777" w:rsidR="00A25A63" w:rsidRPr="00C97BF1" w:rsidRDefault="00A25A63" w:rsidP="00A25A63">
      <w:pPr>
        <w:shd w:val="clear" w:color="auto" w:fill="FFFFFF" w:themeFill="background1"/>
        <w:tabs>
          <w:tab w:val="left" w:pos="1843"/>
          <w:tab w:val="left" w:pos="4111"/>
        </w:tabs>
        <w:spacing w:after="0"/>
        <w:rPr>
          <w:b/>
          <w:spacing w:val="-1"/>
          <w:sz w:val="20"/>
          <w:szCs w:val="20"/>
        </w:rPr>
      </w:pPr>
      <w:r w:rsidRPr="00C97BF1">
        <w:rPr>
          <w:spacing w:val="-1"/>
          <w:sz w:val="20"/>
          <w:szCs w:val="20"/>
        </w:rPr>
        <w:t>Jane Hobson, OBE (JHo)</w:t>
      </w:r>
      <w:r w:rsidRPr="00C97BF1">
        <w:rPr>
          <w:spacing w:val="-1"/>
          <w:sz w:val="20"/>
          <w:szCs w:val="20"/>
        </w:rPr>
        <w:tab/>
        <w:t xml:space="preserve">Governor </w:t>
      </w:r>
      <w:r w:rsidRPr="00C97BF1">
        <w:rPr>
          <w:sz w:val="20"/>
          <w:szCs w:val="20"/>
        </w:rPr>
        <w:t xml:space="preserve"> </w:t>
      </w:r>
    </w:p>
    <w:p w14:paraId="5E566AAC" w14:textId="77777777" w:rsidR="00A25A63" w:rsidRPr="00C97BF1" w:rsidRDefault="00A25A63" w:rsidP="00A25A63">
      <w:pPr>
        <w:shd w:val="clear" w:color="auto" w:fill="FFFFFF" w:themeFill="background1"/>
        <w:tabs>
          <w:tab w:val="left" w:pos="1843"/>
          <w:tab w:val="left" w:pos="4111"/>
        </w:tabs>
        <w:spacing w:after="0"/>
        <w:rPr>
          <w:b/>
          <w:sz w:val="20"/>
          <w:szCs w:val="20"/>
        </w:rPr>
      </w:pPr>
      <w:r w:rsidRPr="00C97BF1">
        <w:rPr>
          <w:sz w:val="20"/>
          <w:szCs w:val="20"/>
        </w:rPr>
        <w:t>Christopher Briggs (CB)</w:t>
      </w:r>
      <w:r w:rsidRPr="00C97BF1">
        <w:rPr>
          <w:sz w:val="20"/>
          <w:szCs w:val="20"/>
        </w:rPr>
        <w:tab/>
        <w:t>Governor</w:t>
      </w:r>
    </w:p>
    <w:p w14:paraId="344720C0" w14:textId="2F689324" w:rsidR="00A25A63" w:rsidRPr="00C97BF1" w:rsidRDefault="00A25A63" w:rsidP="00A25A63">
      <w:pPr>
        <w:shd w:val="clear" w:color="auto" w:fill="FFFFFF" w:themeFill="background1"/>
        <w:tabs>
          <w:tab w:val="left" w:pos="1843"/>
          <w:tab w:val="left" w:pos="4111"/>
        </w:tabs>
        <w:spacing w:after="0"/>
        <w:rPr>
          <w:b/>
          <w:sz w:val="20"/>
          <w:szCs w:val="20"/>
        </w:rPr>
      </w:pPr>
      <w:r w:rsidRPr="00C97BF1">
        <w:rPr>
          <w:sz w:val="20"/>
          <w:szCs w:val="20"/>
        </w:rPr>
        <w:t>Mark Trinick (MT)</w:t>
      </w:r>
      <w:r w:rsidRPr="00C97BF1">
        <w:rPr>
          <w:sz w:val="20"/>
          <w:szCs w:val="20"/>
        </w:rPr>
        <w:tab/>
      </w:r>
      <w:r w:rsidRPr="00C97BF1">
        <w:rPr>
          <w:sz w:val="20"/>
          <w:szCs w:val="20"/>
        </w:rPr>
        <w:tab/>
        <w:t xml:space="preserve">Governor </w:t>
      </w:r>
    </w:p>
    <w:p w14:paraId="152C1757" w14:textId="77777777" w:rsidR="00A25A63" w:rsidRPr="00C97BF1" w:rsidRDefault="00A25A63" w:rsidP="00A25A63">
      <w:pPr>
        <w:shd w:val="clear" w:color="auto" w:fill="FFFFFF" w:themeFill="background1"/>
        <w:tabs>
          <w:tab w:val="left" w:pos="1843"/>
          <w:tab w:val="left" w:pos="4111"/>
        </w:tabs>
        <w:spacing w:after="0"/>
        <w:rPr>
          <w:b/>
          <w:sz w:val="20"/>
          <w:szCs w:val="20"/>
        </w:rPr>
      </w:pPr>
      <w:r w:rsidRPr="00C97BF1">
        <w:rPr>
          <w:sz w:val="20"/>
          <w:szCs w:val="20"/>
        </w:rPr>
        <w:t>Olivia John (OJ)</w:t>
      </w:r>
      <w:r w:rsidRPr="00C97BF1">
        <w:rPr>
          <w:sz w:val="20"/>
          <w:szCs w:val="20"/>
        </w:rPr>
        <w:tab/>
      </w:r>
      <w:r w:rsidRPr="00C97BF1">
        <w:rPr>
          <w:sz w:val="20"/>
          <w:szCs w:val="20"/>
        </w:rPr>
        <w:tab/>
        <w:t>Governor</w:t>
      </w:r>
    </w:p>
    <w:p w14:paraId="1DE50EB7" w14:textId="77777777" w:rsidR="00A25A63" w:rsidRPr="00C97BF1" w:rsidRDefault="00A25A63" w:rsidP="00A25A63">
      <w:pPr>
        <w:shd w:val="clear" w:color="auto" w:fill="FFFFFF" w:themeFill="background1"/>
        <w:tabs>
          <w:tab w:val="left" w:pos="1843"/>
          <w:tab w:val="left" w:pos="4111"/>
        </w:tabs>
        <w:spacing w:after="0"/>
        <w:rPr>
          <w:b/>
          <w:sz w:val="20"/>
          <w:szCs w:val="20"/>
        </w:rPr>
      </w:pPr>
      <w:r w:rsidRPr="00C97BF1">
        <w:rPr>
          <w:sz w:val="20"/>
          <w:szCs w:val="20"/>
        </w:rPr>
        <w:t>Allan Carey (AC)</w:t>
      </w:r>
      <w:r w:rsidRPr="00C97BF1">
        <w:rPr>
          <w:sz w:val="20"/>
          <w:szCs w:val="20"/>
        </w:rPr>
        <w:tab/>
      </w:r>
      <w:r w:rsidRPr="00C97BF1">
        <w:rPr>
          <w:sz w:val="20"/>
          <w:szCs w:val="20"/>
        </w:rPr>
        <w:tab/>
        <w:t>Governor</w:t>
      </w:r>
    </w:p>
    <w:p w14:paraId="777232CE" w14:textId="77777777" w:rsidR="00A25A63" w:rsidRPr="00C97BF1" w:rsidRDefault="00A25A63" w:rsidP="00A25A63">
      <w:pPr>
        <w:shd w:val="clear" w:color="auto" w:fill="FFFFFF" w:themeFill="background1"/>
        <w:tabs>
          <w:tab w:val="left" w:pos="1843"/>
          <w:tab w:val="left" w:pos="4111"/>
        </w:tabs>
        <w:spacing w:after="0"/>
        <w:rPr>
          <w:b/>
          <w:sz w:val="20"/>
          <w:szCs w:val="20"/>
        </w:rPr>
      </w:pPr>
      <w:r w:rsidRPr="00C97BF1">
        <w:rPr>
          <w:sz w:val="20"/>
          <w:szCs w:val="20"/>
        </w:rPr>
        <w:t>Lucie Allen (LA)</w:t>
      </w:r>
      <w:r w:rsidRPr="00C97BF1">
        <w:rPr>
          <w:sz w:val="20"/>
          <w:szCs w:val="20"/>
        </w:rPr>
        <w:tab/>
      </w:r>
      <w:r w:rsidRPr="00C97BF1">
        <w:rPr>
          <w:sz w:val="20"/>
          <w:szCs w:val="20"/>
        </w:rPr>
        <w:tab/>
        <w:t>Governor</w:t>
      </w:r>
    </w:p>
    <w:p w14:paraId="73140F1B" w14:textId="07FCFC6A" w:rsidR="00A25A63" w:rsidRPr="00C97BF1" w:rsidRDefault="00A25A63" w:rsidP="00A25A63">
      <w:pPr>
        <w:shd w:val="clear" w:color="auto" w:fill="FFFFFF" w:themeFill="background1"/>
        <w:tabs>
          <w:tab w:val="left" w:pos="1843"/>
          <w:tab w:val="left" w:pos="4111"/>
        </w:tabs>
        <w:spacing w:after="0"/>
        <w:rPr>
          <w:sz w:val="20"/>
          <w:szCs w:val="20"/>
        </w:rPr>
      </w:pPr>
      <w:r w:rsidRPr="00C97BF1">
        <w:rPr>
          <w:sz w:val="20"/>
          <w:szCs w:val="20"/>
        </w:rPr>
        <w:t>Chinyama Okunuga (CO)</w:t>
      </w:r>
      <w:r w:rsidRPr="00C97BF1">
        <w:rPr>
          <w:sz w:val="20"/>
          <w:szCs w:val="20"/>
        </w:rPr>
        <w:tab/>
        <w:t xml:space="preserve">Governor </w:t>
      </w:r>
      <w:r w:rsidR="006448A0">
        <w:rPr>
          <w:sz w:val="20"/>
          <w:szCs w:val="20"/>
        </w:rPr>
        <w:tab/>
      </w:r>
      <w:r w:rsidR="006448A0">
        <w:rPr>
          <w:sz w:val="20"/>
          <w:szCs w:val="20"/>
        </w:rPr>
        <w:tab/>
      </w:r>
      <w:r w:rsidR="006448A0">
        <w:rPr>
          <w:sz w:val="20"/>
          <w:szCs w:val="20"/>
        </w:rPr>
        <w:tab/>
      </w:r>
      <w:r w:rsidR="006448A0">
        <w:rPr>
          <w:sz w:val="20"/>
          <w:szCs w:val="20"/>
        </w:rPr>
        <w:tab/>
        <w:t>Apologies</w:t>
      </w:r>
    </w:p>
    <w:p w14:paraId="55EDA42A" w14:textId="5388F80D" w:rsidR="00EE7E36" w:rsidRPr="00C97BF1" w:rsidRDefault="00EE7E36" w:rsidP="00A25A63">
      <w:pPr>
        <w:shd w:val="clear" w:color="auto" w:fill="FFFFFF" w:themeFill="background1"/>
        <w:tabs>
          <w:tab w:val="left" w:pos="1843"/>
          <w:tab w:val="left" w:pos="4111"/>
        </w:tabs>
        <w:spacing w:after="0"/>
        <w:rPr>
          <w:sz w:val="20"/>
          <w:szCs w:val="20"/>
        </w:rPr>
      </w:pPr>
      <w:r w:rsidRPr="00C97BF1">
        <w:rPr>
          <w:sz w:val="20"/>
          <w:szCs w:val="20"/>
        </w:rPr>
        <w:t xml:space="preserve">David Bailey </w:t>
      </w:r>
      <w:r w:rsidR="002035FD" w:rsidRPr="00C97BF1">
        <w:rPr>
          <w:sz w:val="20"/>
          <w:szCs w:val="20"/>
        </w:rPr>
        <w:t>(DB)</w:t>
      </w:r>
      <w:r w:rsidR="002035FD" w:rsidRPr="00C97BF1">
        <w:rPr>
          <w:sz w:val="20"/>
          <w:szCs w:val="20"/>
        </w:rPr>
        <w:tab/>
      </w:r>
      <w:r w:rsidRPr="00C97BF1">
        <w:rPr>
          <w:sz w:val="20"/>
          <w:szCs w:val="20"/>
        </w:rPr>
        <w:tab/>
        <w:t xml:space="preserve">Governor </w:t>
      </w:r>
    </w:p>
    <w:p w14:paraId="48A0E815" w14:textId="155277A9" w:rsidR="00450B2B" w:rsidRPr="00C97BF1" w:rsidRDefault="00450B2B" w:rsidP="00A25A63">
      <w:pPr>
        <w:shd w:val="clear" w:color="auto" w:fill="FFFFFF" w:themeFill="background1"/>
        <w:tabs>
          <w:tab w:val="left" w:pos="1843"/>
          <w:tab w:val="left" w:pos="4111"/>
        </w:tabs>
        <w:spacing w:after="0"/>
        <w:rPr>
          <w:sz w:val="20"/>
          <w:szCs w:val="20"/>
        </w:rPr>
      </w:pPr>
      <w:r w:rsidRPr="00C97BF1">
        <w:rPr>
          <w:sz w:val="20"/>
          <w:szCs w:val="20"/>
        </w:rPr>
        <w:t>Lucy Butler (LB)</w:t>
      </w:r>
      <w:r w:rsidRPr="00C97BF1">
        <w:rPr>
          <w:sz w:val="20"/>
          <w:szCs w:val="20"/>
        </w:rPr>
        <w:tab/>
      </w:r>
      <w:r w:rsidRPr="00C97BF1">
        <w:rPr>
          <w:sz w:val="20"/>
          <w:szCs w:val="20"/>
        </w:rPr>
        <w:tab/>
        <w:t>Governor</w:t>
      </w:r>
    </w:p>
    <w:p w14:paraId="588643FF" w14:textId="1848E58D" w:rsidR="00ED6B02" w:rsidRPr="00C97BF1" w:rsidRDefault="00ED6B02" w:rsidP="00A25A63">
      <w:pPr>
        <w:shd w:val="clear" w:color="auto" w:fill="FFFFFF" w:themeFill="background1"/>
        <w:tabs>
          <w:tab w:val="left" w:pos="1843"/>
          <w:tab w:val="left" w:pos="4111"/>
        </w:tabs>
        <w:spacing w:after="0"/>
        <w:rPr>
          <w:b/>
          <w:sz w:val="20"/>
          <w:szCs w:val="20"/>
        </w:rPr>
      </w:pPr>
      <w:r w:rsidRPr="00C97BF1">
        <w:rPr>
          <w:sz w:val="20"/>
          <w:szCs w:val="20"/>
        </w:rPr>
        <w:t>Joanne Bell (JB)</w:t>
      </w:r>
      <w:r w:rsidRPr="00C97BF1">
        <w:rPr>
          <w:sz w:val="20"/>
          <w:szCs w:val="20"/>
        </w:rPr>
        <w:tab/>
      </w:r>
      <w:r w:rsidRPr="00C97BF1">
        <w:rPr>
          <w:sz w:val="20"/>
          <w:szCs w:val="20"/>
        </w:rPr>
        <w:tab/>
      </w:r>
      <w:r w:rsidR="00D427B4" w:rsidRPr="00C97BF1">
        <w:rPr>
          <w:sz w:val="20"/>
          <w:szCs w:val="20"/>
        </w:rPr>
        <w:t>Governor</w:t>
      </w:r>
      <w:r w:rsidRPr="00C97BF1">
        <w:rPr>
          <w:sz w:val="20"/>
          <w:szCs w:val="20"/>
        </w:rPr>
        <w:t xml:space="preserve"> </w:t>
      </w:r>
      <w:r w:rsidR="006448A0">
        <w:rPr>
          <w:sz w:val="20"/>
          <w:szCs w:val="20"/>
        </w:rPr>
        <w:tab/>
      </w:r>
      <w:r w:rsidR="006448A0">
        <w:rPr>
          <w:sz w:val="20"/>
          <w:szCs w:val="20"/>
        </w:rPr>
        <w:tab/>
      </w:r>
      <w:r w:rsidR="006448A0">
        <w:rPr>
          <w:sz w:val="20"/>
          <w:szCs w:val="20"/>
        </w:rPr>
        <w:tab/>
      </w:r>
      <w:r w:rsidR="006448A0">
        <w:rPr>
          <w:sz w:val="20"/>
          <w:szCs w:val="20"/>
        </w:rPr>
        <w:tab/>
        <w:t>Apologies</w:t>
      </w:r>
    </w:p>
    <w:p w14:paraId="63946BD4" w14:textId="3C11D4B1" w:rsidR="00A25A63" w:rsidRPr="00C97BF1" w:rsidRDefault="00A25A63" w:rsidP="00A25A63">
      <w:pPr>
        <w:shd w:val="clear" w:color="auto" w:fill="FFFFFF" w:themeFill="background1"/>
        <w:tabs>
          <w:tab w:val="left" w:pos="1418"/>
          <w:tab w:val="left" w:pos="4111"/>
        </w:tabs>
        <w:spacing w:after="0"/>
        <w:rPr>
          <w:sz w:val="20"/>
          <w:szCs w:val="20"/>
        </w:rPr>
      </w:pPr>
      <w:r w:rsidRPr="00C97BF1">
        <w:rPr>
          <w:sz w:val="20"/>
          <w:szCs w:val="20"/>
        </w:rPr>
        <w:t>Barry Spencer (BS)</w:t>
      </w:r>
      <w:r w:rsidRPr="00C97BF1">
        <w:rPr>
          <w:sz w:val="20"/>
          <w:szCs w:val="20"/>
        </w:rPr>
        <w:tab/>
        <w:t>Staff Governor</w:t>
      </w:r>
    </w:p>
    <w:p w14:paraId="33077917" w14:textId="2A49B12C" w:rsidR="00A25A63" w:rsidRPr="00C97BF1" w:rsidRDefault="00A25A63" w:rsidP="00A25A63">
      <w:pPr>
        <w:tabs>
          <w:tab w:val="left" w:pos="1843"/>
          <w:tab w:val="left" w:pos="4111"/>
        </w:tabs>
        <w:spacing w:after="0"/>
        <w:rPr>
          <w:b/>
          <w:bCs/>
          <w:spacing w:val="-1"/>
          <w:sz w:val="20"/>
          <w:szCs w:val="20"/>
        </w:rPr>
      </w:pPr>
      <w:r w:rsidRPr="00C97BF1">
        <w:rPr>
          <w:b/>
          <w:bCs/>
          <w:spacing w:val="-1"/>
          <w:sz w:val="20"/>
          <w:szCs w:val="20"/>
        </w:rPr>
        <w:t>Clerk to the Board</w:t>
      </w:r>
    </w:p>
    <w:p w14:paraId="37FF26E3" w14:textId="31ECFA9B" w:rsidR="00A25A63" w:rsidRDefault="00A25A63" w:rsidP="00A25A63">
      <w:pPr>
        <w:tabs>
          <w:tab w:val="left" w:pos="1843"/>
          <w:tab w:val="left" w:pos="4111"/>
        </w:tabs>
        <w:spacing w:after="0"/>
        <w:rPr>
          <w:spacing w:val="-1"/>
          <w:sz w:val="20"/>
          <w:szCs w:val="20"/>
        </w:rPr>
      </w:pPr>
      <w:r w:rsidRPr="00C97BF1">
        <w:rPr>
          <w:spacing w:val="-1"/>
          <w:sz w:val="20"/>
          <w:szCs w:val="20"/>
        </w:rPr>
        <w:t>Jennifer Pharo (JP)</w:t>
      </w:r>
      <w:r w:rsidR="00DB7556">
        <w:rPr>
          <w:spacing w:val="-1"/>
          <w:sz w:val="20"/>
          <w:szCs w:val="20"/>
        </w:rPr>
        <w:tab/>
      </w:r>
      <w:r w:rsidRPr="00C97BF1">
        <w:rPr>
          <w:spacing w:val="-1"/>
          <w:sz w:val="20"/>
          <w:szCs w:val="20"/>
        </w:rPr>
        <w:tab/>
        <w:t>Group Executive Director Gove</w:t>
      </w:r>
      <w:r w:rsidR="00EE7E36" w:rsidRPr="00C97BF1">
        <w:rPr>
          <w:spacing w:val="-1"/>
          <w:sz w:val="20"/>
          <w:szCs w:val="20"/>
        </w:rPr>
        <w:t>rnance</w:t>
      </w:r>
    </w:p>
    <w:p w14:paraId="10ADAF8E" w14:textId="77777777" w:rsidR="00A7531B" w:rsidRPr="00C97BF1" w:rsidRDefault="00A7531B" w:rsidP="00A25A63">
      <w:pPr>
        <w:tabs>
          <w:tab w:val="left" w:pos="1843"/>
          <w:tab w:val="left" w:pos="4111"/>
        </w:tabs>
        <w:spacing w:after="0"/>
        <w:rPr>
          <w:spacing w:val="-1"/>
          <w:sz w:val="20"/>
          <w:szCs w:val="20"/>
        </w:rPr>
      </w:pPr>
    </w:p>
    <w:p w14:paraId="5283AE1A" w14:textId="534D9C9A" w:rsidR="00A25A63" w:rsidRPr="00C97BF1" w:rsidRDefault="00A25A63" w:rsidP="00A25A63">
      <w:pPr>
        <w:tabs>
          <w:tab w:val="left" w:pos="1843"/>
          <w:tab w:val="left" w:pos="4111"/>
        </w:tabs>
        <w:spacing w:after="0"/>
        <w:rPr>
          <w:b/>
          <w:bCs/>
          <w:spacing w:val="-1"/>
          <w:sz w:val="20"/>
          <w:szCs w:val="20"/>
        </w:rPr>
      </w:pPr>
      <w:r w:rsidRPr="00C97BF1">
        <w:rPr>
          <w:b/>
          <w:bCs/>
          <w:spacing w:val="-1"/>
          <w:sz w:val="20"/>
          <w:szCs w:val="20"/>
        </w:rPr>
        <w:t>Executive Officers in attendance</w:t>
      </w:r>
    </w:p>
    <w:p w14:paraId="20BAFAE8" w14:textId="77777777" w:rsidR="00A25A63" w:rsidRPr="00C97BF1" w:rsidRDefault="00A25A63" w:rsidP="00A25A63">
      <w:pPr>
        <w:tabs>
          <w:tab w:val="left" w:pos="1843"/>
          <w:tab w:val="left" w:pos="4111"/>
        </w:tabs>
        <w:spacing w:after="0"/>
        <w:rPr>
          <w:b/>
          <w:spacing w:val="-1"/>
          <w:sz w:val="20"/>
          <w:szCs w:val="20"/>
        </w:rPr>
      </w:pPr>
      <w:r w:rsidRPr="00C97BF1">
        <w:rPr>
          <w:spacing w:val="-1"/>
          <w:sz w:val="20"/>
          <w:szCs w:val="20"/>
        </w:rPr>
        <w:t>John Hunt (JHu)</w:t>
      </w:r>
      <w:r w:rsidRPr="00C97BF1">
        <w:rPr>
          <w:spacing w:val="-1"/>
          <w:sz w:val="20"/>
          <w:szCs w:val="20"/>
        </w:rPr>
        <w:tab/>
      </w:r>
      <w:r w:rsidRPr="00C97BF1">
        <w:rPr>
          <w:spacing w:val="-1"/>
          <w:sz w:val="20"/>
          <w:szCs w:val="20"/>
        </w:rPr>
        <w:tab/>
        <w:t>Group CFO &amp; Deputy CEO Trust</w:t>
      </w:r>
    </w:p>
    <w:p w14:paraId="2B45C9E7" w14:textId="2F5A4ABE" w:rsidR="007B7FA8" w:rsidRPr="00C97BF1" w:rsidRDefault="007B7FA8" w:rsidP="00A25A63">
      <w:pPr>
        <w:tabs>
          <w:tab w:val="left" w:pos="1843"/>
          <w:tab w:val="left" w:pos="4111"/>
        </w:tabs>
        <w:spacing w:after="0"/>
        <w:rPr>
          <w:spacing w:val="-1"/>
          <w:sz w:val="20"/>
          <w:szCs w:val="20"/>
        </w:rPr>
      </w:pPr>
      <w:r w:rsidRPr="00C97BF1">
        <w:rPr>
          <w:spacing w:val="-1"/>
          <w:sz w:val="20"/>
          <w:szCs w:val="20"/>
        </w:rPr>
        <w:t>Asfa Sohail</w:t>
      </w:r>
      <w:r w:rsidR="00767D56" w:rsidRPr="00C97BF1">
        <w:rPr>
          <w:spacing w:val="-1"/>
          <w:sz w:val="20"/>
          <w:szCs w:val="20"/>
        </w:rPr>
        <w:t xml:space="preserve"> (AS)</w:t>
      </w:r>
      <w:r w:rsidR="00767D56" w:rsidRPr="00C97BF1">
        <w:rPr>
          <w:spacing w:val="-1"/>
          <w:sz w:val="20"/>
          <w:szCs w:val="20"/>
        </w:rPr>
        <w:tab/>
      </w:r>
      <w:r w:rsidR="00767D56" w:rsidRPr="00C97BF1">
        <w:rPr>
          <w:spacing w:val="-1"/>
          <w:sz w:val="20"/>
          <w:szCs w:val="20"/>
        </w:rPr>
        <w:tab/>
        <w:t>College Principal &amp; Chief Learning Officer</w:t>
      </w:r>
    </w:p>
    <w:p w14:paraId="4F57FD81" w14:textId="5E3D30CC" w:rsidR="00C97BF1" w:rsidRDefault="00A25A63">
      <w:pPr>
        <w:tabs>
          <w:tab w:val="left" w:pos="1843"/>
          <w:tab w:val="left" w:pos="4111"/>
        </w:tabs>
        <w:spacing w:after="0"/>
        <w:rPr>
          <w:spacing w:val="-1"/>
          <w:sz w:val="20"/>
          <w:szCs w:val="20"/>
        </w:rPr>
      </w:pPr>
      <w:r w:rsidRPr="00C97BF1">
        <w:rPr>
          <w:spacing w:val="-1"/>
          <w:sz w:val="20"/>
          <w:szCs w:val="20"/>
        </w:rPr>
        <w:t>David Lambert (DL)</w:t>
      </w:r>
      <w:r w:rsidRPr="00C97BF1">
        <w:rPr>
          <w:spacing w:val="-1"/>
          <w:sz w:val="20"/>
          <w:szCs w:val="20"/>
        </w:rPr>
        <w:tab/>
      </w:r>
      <w:r w:rsidR="00A7531B">
        <w:rPr>
          <w:spacing w:val="-1"/>
          <w:sz w:val="20"/>
          <w:szCs w:val="20"/>
        </w:rPr>
        <w:tab/>
      </w:r>
      <w:r w:rsidR="00E74CF8" w:rsidRPr="00C97BF1">
        <w:rPr>
          <w:spacing w:val="-1"/>
          <w:sz w:val="20"/>
          <w:szCs w:val="20"/>
        </w:rPr>
        <w:t>Group CTIO</w:t>
      </w:r>
    </w:p>
    <w:p w14:paraId="6C85F7D2" w14:textId="6A811AD6" w:rsidR="00015F1A" w:rsidRDefault="00015F1A">
      <w:pPr>
        <w:tabs>
          <w:tab w:val="left" w:pos="1843"/>
          <w:tab w:val="left" w:pos="4111"/>
        </w:tabs>
        <w:spacing w:after="0"/>
        <w:rPr>
          <w:spacing w:val="-1"/>
          <w:sz w:val="20"/>
          <w:szCs w:val="20"/>
        </w:rPr>
      </w:pPr>
    </w:p>
    <w:p w14:paraId="75EF8524" w14:textId="00D3AA85" w:rsidR="00015F1A" w:rsidRDefault="00015F1A">
      <w:pPr>
        <w:tabs>
          <w:tab w:val="left" w:pos="1843"/>
          <w:tab w:val="left" w:pos="4111"/>
        </w:tabs>
        <w:spacing w:after="0"/>
        <w:rPr>
          <w:spacing w:val="-1"/>
          <w:sz w:val="20"/>
          <w:szCs w:val="20"/>
        </w:rPr>
      </w:pPr>
    </w:p>
    <w:p w14:paraId="53416E48" w14:textId="1030A251" w:rsidR="00015F1A" w:rsidRDefault="00015F1A">
      <w:pPr>
        <w:tabs>
          <w:tab w:val="left" w:pos="1843"/>
          <w:tab w:val="left" w:pos="4111"/>
        </w:tabs>
        <w:spacing w:after="0"/>
        <w:rPr>
          <w:spacing w:val="-1"/>
          <w:sz w:val="20"/>
          <w:szCs w:val="20"/>
        </w:rPr>
      </w:pPr>
    </w:p>
    <w:p w14:paraId="34CFBA6B" w14:textId="7186DA09" w:rsidR="00015F1A" w:rsidRDefault="00015F1A" w:rsidP="00015F1A">
      <w:pPr>
        <w:tabs>
          <w:tab w:val="left" w:pos="0"/>
          <w:tab w:val="left" w:pos="4111"/>
        </w:tabs>
        <w:spacing w:after="0"/>
        <w:rPr>
          <w:spacing w:val="-1"/>
          <w:sz w:val="20"/>
          <w:szCs w:val="20"/>
        </w:rPr>
      </w:pPr>
      <w:r>
        <w:rPr>
          <w:spacing w:val="-1"/>
          <w:sz w:val="20"/>
          <w:szCs w:val="20"/>
        </w:rPr>
        <w:t xml:space="preserve">Approved by Chair:   </w:t>
      </w:r>
    </w:p>
    <w:p w14:paraId="5D6789D2" w14:textId="7A2AAFDD" w:rsidR="00015F1A" w:rsidRDefault="00015F1A" w:rsidP="00015F1A">
      <w:pPr>
        <w:tabs>
          <w:tab w:val="left" w:pos="1843"/>
          <w:tab w:val="left" w:pos="4111"/>
        </w:tabs>
        <w:spacing w:after="0"/>
        <w:ind w:left="1985"/>
        <w:rPr>
          <w:spacing w:val="-1"/>
          <w:sz w:val="20"/>
          <w:szCs w:val="20"/>
        </w:rPr>
      </w:pPr>
      <w:r>
        <w:rPr>
          <w:noProof/>
        </w:rPr>
        <w:drawing>
          <wp:inline distT="0" distB="0" distL="0" distR="0" wp14:anchorId="10562A28" wp14:editId="549C0264">
            <wp:extent cx="722988" cy="1145708"/>
            <wp:effectExtent l="0" t="1905"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rot="16200000">
                      <a:off x="0" y="0"/>
                      <a:ext cx="743598" cy="1178369"/>
                    </a:xfrm>
                    <a:prstGeom prst="rect">
                      <a:avLst/>
                    </a:prstGeom>
                  </pic:spPr>
                </pic:pic>
              </a:graphicData>
            </a:graphic>
          </wp:inline>
        </w:drawing>
      </w:r>
    </w:p>
    <w:p w14:paraId="52A9A44D" w14:textId="415E1A78" w:rsidR="00015F1A" w:rsidRDefault="00015F1A" w:rsidP="00015F1A">
      <w:pPr>
        <w:tabs>
          <w:tab w:val="left" w:pos="1843"/>
          <w:tab w:val="left" w:pos="4111"/>
        </w:tabs>
        <w:spacing w:after="0"/>
        <w:rPr>
          <w:spacing w:val="-1"/>
          <w:sz w:val="20"/>
          <w:szCs w:val="20"/>
        </w:rPr>
      </w:pPr>
      <w:r>
        <w:rPr>
          <w:spacing w:val="-1"/>
          <w:sz w:val="20"/>
          <w:szCs w:val="20"/>
        </w:rPr>
        <w:t>23 March 2022</w:t>
      </w:r>
      <w:bookmarkStart w:id="0" w:name="_GoBack"/>
      <w:bookmarkEnd w:id="0"/>
    </w:p>
    <w:p w14:paraId="2315E991" w14:textId="77777777" w:rsidR="00015F1A" w:rsidRPr="00C97BF1" w:rsidRDefault="00015F1A" w:rsidP="00015F1A">
      <w:pPr>
        <w:tabs>
          <w:tab w:val="left" w:pos="1843"/>
          <w:tab w:val="left" w:pos="4111"/>
        </w:tabs>
        <w:spacing w:after="0"/>
        <w:ind w:left="1985"/>
        <w:rPr>
          <w:spacing w:val="-1"/>
          <w:sz w:val="20"/>
          <w:szCs w:val="20"/>
        </w:rPr>
      </w:pPr>
    </w:p>
    <w:sectPr w:rsidR="00015F1A" w:rsidRPr="00C97BF1" w:rsidSect="002D72C7">
      <w:headerReference w:type="default" r:id="rId11"/>
      <w:footerReference w:type="default" r:id="rId12"/>
      <w:pgSz w:w="11906" w:h="16838"/>
      <w:pgMar w:top="1418" w:right="907" w:bottom="851" w:left="907" w:header="567"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E0169" w14:textId="77777777" w:rsidR="00100036" w:rsidRDefault="00100036" w:rsidP="00B07D28">
      <w:pPr>
        <w:spacing w:after="0" w:line="240" w:lineRule="auto"/>
      </w:pPr>
      <w:r>
        <w:separator/>
      </w:r>
    </w:p>
  </w:endnote>
  <w:endnote w:type="continuationSeparator" w:id="0">
    <w:p w14:paraId="702BD9A9" w14:textId="77777777" w:rsidR="00100036" w:rsidRDefault="00100036" w:rsidP="00B07D28">
      <w:pPr>
        <w:spacing w:after="0" w:line="240" w:lineRule="auto"/>
      </w:pPr>
      <w:r>
        <w:continuationSeparator/>
      </w:r>
    </w:p>
  </w:endnote>
  <w:endnote w:type="continuationNotice" w:id="1">
    <w:p w14:paraId="7DDC8BBE" w14:textId="77777777" w:rsidR="00100036" w:rsidRDefault="001000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DD865" w14:textId="2326BC81" w:rsidR="00BA6077" w:rsidRPr="002D72C7" w:rsidRDefault="000936E6" w:rsidP="000936E6">
    <w:pPr>
      <w:pStyle w:val="Footer"/>
      <w:tabs>
        <w:tab w:val="clear" w:pos="4513"/>
        <w:tab w:val="clear" w:pos="9026"/>
      </w:tabs>
      <w:jc w:val="right"/>
      <w:rPr>
        <w:sz w:val="16"/>
        <w:szCs w:val="16"/>
      </w:rPr>
    </w:pPr>
    <w:r w:rsidRPr="000936E6">
      <w:rPr>
        <w:sz w:val="16"/>
        <w:szCs w:val="16"/>
      </w:rPr>
      <w:fldChar w:fldCharType="begin"/>
    </w:r>
    <w:r w:rsidRPr="000936E6">
      <w:rPr>
        <w:sz w:val="16"/>
        <w:szCs w:val="16"/>
      </w:rPr>
      <w:instrText xml:space="preserve"> PAGE   \* MERGEFORMAT </w:instrText>
    </w:r>
    <w:r w:rsidRPr="000936E6">
      <w:rPr>
        <w:sz w:val="16"/>
        <w:szCs w:val="16"/>
      </w:rPr>
      <w:fldChar w:fldCharType="separate"/>
    </w:r>
    <w:r w:rsidRPr="000936E6">
      <w:rPr>
        <w:noProof/>
        <w:sz w:val="16"/>
        <w:szCs w:val="16"/>
      </w:rPr>
      <w:t>1</w:t>
    </w:r>
    <w:r w:rsidRPr="000936E6">
      <w:rPr>
        <w:noProof/>
        <w:sz w:val="16"/>
        <w:szCs w:val="16"/>
      </w:rPr>
      <w:fldChar w:fldCharType="end"/>
    </w:r>
    <w:r w:rsidR="00BA6077" w:rsidRPr="002D72C7">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9B9C7" w14:textId="77777777" w:rsidR="00100036" w:rsidRDefault="00100036" w:rsidP="00B07D28">
      <w:pPr>
        <w:spacing w:after="0" w:line="240" w:lineRule="auto"/>
      </w:pPr>
      <w:r>
        <w:separator/>
      </w:r>
    </w:p>
  </w:footnote>
  <w:footnote w:type="continuationSeparator" w:id="0">
    <w:p w14:paraId="1FD77BA6" w14:textId="77777777" w:rsidR="00100036" w:rsidRDefault="00100036" w:rsidP="00B07D28">
      <w:pPr>
        <w:spacing w:after="0" w:line="240" w:lineRule="auto"/>
      </w:pPr>
      <w:r>
        <w:continuationSeparator/>
      </w:r>
    </w:p>
  </w:footnote>
  <w:footnote w:type="continuationNotice" w:id="1">
    <w:p w14:paraId="6711DF48" w14:textId="77777777" w:rsidR="00100036" w:rsidRDefault="001000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BA342" w14:textId="7E11A56E" w:rsidR="00B07D28" w:rsidRDefault="004B60C8" w:rsidP="002D72C7">
    <w:pPr>
      <w:pStyle w:val="Header"/>
      <w:tabs>
        <w:tab w:val="clear" w:pos="9026"/>
        <w:tab w:val="right" w:pos="10065"/>
      </w:tabs>
    </w:pPr>
    <w:r w:rsidRPr="0099546C">
      <w:rPr>
        <w:noProof/>
      </w:rPr>
      <w:drawing>
        <wp:anchor distT="0" distB="0" distL="114300" distR="114300" simplePos="0" relativeHeight="251658240" behindDoc="0" locked="0" layoutInCell="1" allowOverlap="1" wp14:anchorId="15BEAE22" wp14:editId="572FE904">
          <wp:simplePos x="0" y="0"/>
          <wp:positionH relativeFrom="margin">
            <wp:posOffset>5158105</wp:posOffset>
          </wp:positionH>
          <wp:positionV relativeFrom="paragraph">
            <wp:posOffset>-193675</wp:posOffset>
          </wp:positionV>
          <wp:extent cx="1280795" cy="730250"/>
          <wp:effectExtent l="0" t="0" r="0" b="0"/>
          <wp:wrapSquare wrapText="bothSides"/>
          <wp:docPr id="2" name="Picture 2" descr="C:\Users\janei.LSEC\AppData\Local\Microsoft\Windows\Temporary Internet Files\Content.Outlook\SH7X2T23\London South East College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i.LSEC\AppData\Local\Microsoft\Windows\Temporary Internet Files\Content.Outlook\SH7X2T23\London South East Colleges-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795" cy="730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E00073" w14:textId="147DDF85" w:rsidR="00227175" w:rsidRDefault="00227175">
    <w:pPr>
      <w:pStyle w:val="Header"/>
    </w:pPr>
  </w:p>
  <w:p w14:paraId="3BF4BD72" w14:textId="09632748" w:rsidR="00227175" w:rsidRDefault="00227175">
    <w:pPr>
      <w:pStyle w:val="Header"/>
    </w:pPr>
  </w:p>
  <w:p w14:paraId="3BE6A7A9" w14:textId="77777777" w:rsidR="00754CCC" w:rsidRDefault="00754C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B7ABF"/>
    <w:multiLevelType w:val="hybridMultilevel"/>
    <w:tmpl w:val="7C94DD56"/>
    <w:lvl w:ilvl="0" w:tplc="C8FAADBA">
      <w:start w:val="1"/>
      <w:numFmt w:val="bullet"/>
      <w:lvlText w:val=""/>
      <w:lvlJc w:val="left"/>
      <w:pPr>
        <w:ind w:left="720" w:hanging="360"/>
      </w:pPr>
      <w:rPr>
        <w:rFonts w:ascii="Symbol" w:hAnsi="Symbol" w:hint="default"/>
      </w:rPr>
    </w:lvl>
    <w:lvl w:ilvl="1" w:tplc="557CF20C">
      <w:start w:val="1"/>
      <w:numFmt w:val="bullet"/>
      <w:lvlText w:val="o"/>
      <w:lvlJc w:val="left"/>
      <w:pPr>
        <w:ind w:left="1440" w:hanging="360"/>
      </w:pPr>
      <w:rPr>
        <w:rFonts w:ascii="Courier New" w:hAnsi="Courier New" w:hint="default"/>
      </w:rPr>
    </w:lvl>
    <w:lvl w:ilvl="2" w:tplc="64ACAAFE">
      <w:start w:val="1"/>
      <w:numFmt w:val="bullet"/>
      <w:lvlText w:val=""/>
      <w:lvlJc w:val="left"/>
      <w:pPr>
        <w:ind w:left="2160" w:hanging="360"/>
      </w:pPr>
      <w:rPr>
        <w:rFonts w:ascii="Wingdings" w:hAnsi="Wingdings" w:hint="default"/>
      </w:rPr>
    </w:lvl>
    <w:lvl w:ilvl="3" w:tplc="5A02860A">
      <w:start w:val="1"/>
      <w:numFmt w:val="bullet"/>
      <w:lvlText w:val=""/>
      <w:lvlJc w:val="left"/>
      <w:pPr>
        <w:ind w:left="2880" w:hanging="360"/>
      </w:pPr>
      <w:rPr>
        <w:rFonts w:ascii="Symbol" w:hAnsi="Symbol" w:hint="default"/>
      </w:rPr>
    </w:lvl>
    <w:lvl w:ilvl="4" w:tplc="AF5C0104">
      <w:start w:val="1"/>
      <w:numFmt w:val="bullet"/>
      <w:lvlText w:val="o"/>
      <w:lvlJc w:val="left"/>
      <w:pPr>
        <w:ind w:left="3600" w:hanging="360"/>
      </w:pPr>
      <w:rPr>
        <w:rFonts w:ascii="Courier New" w:hAnsi="Courier New" w:hint="default"/>
      </w:rPr>
    </w:lvl>
    <w:lvl w:ilvl="5" w:tplc="48C081F6">
      <w:start w:val="1"/>
      <w:numFmt w:val="bullet"/>
      <w:lvlText w:val=""/>
      <w:lvlJc w:val="left"/>
      <w:pPr>
        <w:ind w:left="4320" w:hanging="360"/>
      </w:pPr>
      <w:rPr>
        <w:rFonts w:ascii="Wingdings" w:hAnsi="Wingdings" w:hint="default"/>
      </w:rPr>
    </w:lvl>
    <w:lvl w:ilvl="6" w:tplc="3D787478">
      <w:start w:val="1"/>
      <w:numFmt w:val="bullet"/>
      <w:lvlText w:val=""/>
      <w:lvlJc w:val="left"/>
      <w:pPr>
        <w:ind w:left="5040" w:hanging="360"/>
      </w:pPr>
      <w:rPr>
        <w:rFonts w:ascii="Symbol" w:hAnsi="Symbol" w:hint="default"/>
      </w:rPr>
    </w:lvl>
    <w:lvl w:ilvl="7" w:tplc="BA3AE5EE">
      <w:start w:val="1"/>
      <w:numFmt w:val="bullet"/>
      <w:lvlText w:val="o"/>
      <w:lvlJc w:val="left"/>
      <w:pPr>
        <w:ind w:left="5760" w:hanging="360"/>
      </w:pPr>
      <w:rPr>
        <w:rFonts w:ascii="Courier New" w:hAnsi="Courier New" w:hint="default"/>
      </w:rPr>
    </w:lvl>
    <w:lvl w:ilvl="8" w:tplc="75F22CCC">
      <w:start w:val="1"/>
      <w:numFmt w:val="bullet"/>
      <w:lvlText w:val=""/>
      <w:lvlJc w:val="left"/>
      <w:pPr>
        <w:ind w:left="6480" w:hanging="360"/>
      </w:pPr>
      <w:rPr>
        <w:rFonts w:ascii="Wingdings" w:hAnsi="Wingdings" w:hint="default"/>
      </w:rPr>
    </w:lvl>
  </w:abstractNum>
  <w:abstractNum w:abstractNumId="1" w15:restartNumberingAfterBreak="0">
    <w:nsid w:val="0598413A"/>
    <w:multiLevelType w:val="hybridMultilevel"/>
    <w:tmpl w:val="329E1DE2"/>
    <w:lvl w:ilvl="0" w:tplc="D60C2D8A">
      <w:start w:val="1"/>
      <w:numFmt w:val="bullet"/>
      <w:lvlText w:val="·"/>
      <w:lvlJc w:val="left"/>
      <w:pPr>
        <w:ind w:left="720" w:hanging="360"/>
      </w:pPr>
      <w:rPr>
        <w:rFonts w:ascii="Symbol" w:hAnsi="Symbol" w:hint="default"/>
      </w:rPr>
    </w:lvl>
    <w:lvl w:ilvl="1" w:tplc="858246A8">
      <w:start w:val="1"/>
      <w:numFmt w:val="bullet"/>
      <w:lvlText w:val="o"/>
      <w:lvlJc w:val="left"/>
      <w:pPr>
        <w:ind w:left="1440" w:hanging="360"/>
      </w:pPr>
      <w:rPr>
        <w:rFonts w:ascii="Courier New" w:hAnsi="Courier New" w:hint="default"/>
      </w:rPr>
    </w:lvl>
    <w:lvl w:ilvl="2" w:tplc="02780478">
      <w:start w:val="1"/>
      <w:numFmt w:val="bullet"/>
      <w:lvlText w:val=""/>
      <w:lvlJc w:val="left"/>
      <w:pPr>
        <w:ind w:left="2160" w:hanging="360"/>
      </w:pPr>
      <w:rPr>
        <w:rFonts w:ascii="Wingdings" w:hAnsi="Wingdings" w:hint="default"/>
      </w:rPr>
    </w:lvl>
    <w:lvl w:ilvl="3" w:tplc="EA5C52FE">
      <w:start w:val="1"/>
      <w:numFmt w:val="bullet"/>
      <w:lvlText w:val=""/>
      <w:lvlJc w:val="left"/>
      <w:pPr>
        <w:ind w:left="2880" w:hanging="360"/>
      </w:pPr>
      <w:rPr>
        <w:rFonts w:ascii="Symbol" w:hAnsi="Symbol" w:hint="default"/>
      </w:rPr>
    </w:lvl>
    <w:lvl w:ilvl="4" w:tplc="744613B6">
      <w:start w:val="1"/>
      <w:numFmt w:val="bullet"/>
      <w:lvlText w:val="o"/>
      <w:lvlJc w:val="left"/>
      <w:pPr>
        <w:ind w:left="3600" w:hanging="360"/>
      </w:pPr>
      <w:rPr>
        <w:rFonts w:ascii="Courier New" w:hAnsi="Courier New" w:hint="default"/>
      </w:rPr>
    </w:lvl>
    <w:lvl w:ilvl="5" w:tplc="99724DEA">
      <w:start w:val="1"/>
      <w:numFmt w:val="bullet"/>
      <w:lvlText w:val=""/>
      <w:lvlJc w:val="left"/>
      <w:pPr>
        <w:ind w:left="4320" w:hanging="360"/>
      </w:pPr>
      <w:rPr>
        <w:rFonts w:ascii="Wingdings" w:hAnsi="Wingdings" w:hint="default"/>
      </w:rPr>
    </w:lvl>
    <w:lvl w:ilvl="6" w:tplc="67E06A8A">
      <w:start w:val="1"/>
      <w:numFmt w:val="bullet"/>
      <w:lvlText w:val=""/>
      <w:lvlJc w:val="left"/>
      <w:pPr>
        <w:ind w:left="5040" w:hanging="360"/>
      </w:pPr>
      <w:rPr>
        <w:rFonts w:ascii="Symbol" w:hAnsi="Symbol" w:hint="default"/>
      </w:rPr>
    </w:lvl>
    <w:lvl w:ilvl="7" w:tplc="C8D8B1B8">
      <w:start w:val="1"/>
      <w:numFmt w:val="bullet"/>
      <w:lvlText w:val="o"/>
      <w:lvlJc w:val="left"/>
      <w:pPr>
        <w:ind w:left="5760" w:hanging="360"/>
      </w:pPr>
      <w:rPr>
        <w:rFonts w:ascii="Courier New" w:hAnsi="Courier New" w:hint="default"/>
      </w:rPr>
    </w:lvl>
    <w:lvl w:ilvl="8" w:tplc="864CB3EC">
      <w:start w:val="1"/>
      <w:numFmt w:val="bullet"/>
      <w:lvlText w:val=""/>
      <w:lvlJc w:val="left"/>
      <w:pPr>
        <w:ind w:left="6480" w:hanging="360"/>
      </w:pPr>
      <w:rPr>
        <w:rFonts w:ascii="Wingdings" w:hAnsi="Wingdings" w:hint="default"/>
      </w:rPr>
    </w:lvl>
  </w:abstractNum>
  <w:abstractNum w:abstractNumId="2" w15:restartNumberingAfterBreak="0">
    <w:nsid w:val="1B7462DC"/>
    <w:multiLevelType w:val="hybridMultilevel"/>
    <w:tmpl w:val="A022CB20"/>
    <w:lvl w:ilvl="0" w:tplc="08090001">
      <w:start w:val="1"/>
      <w:numFmt w:val="bullet"/>
      <w:lvlText w:val=""/>
      <w:lvlJc w:val="left"/>
      <w:pPr>
        <w:ind w:left="4253" w:hanging="360"/>
      </w:pPr>
      <w:rPr>
        <w:rFonts w:ascii="Symbol" w:hAnsi="Symbol" w:hint="default"/>
      </w:rPr>
    </w:lvl>
    <w:lvl w:ilvl="1" w:tplc="08090003" w:tentative="1">
      <w:start w:val="1"/>
      <w:numFmt w:val="bullet"/>
      <w:lvlText w:val="o"/>
      <w:lvlJc w:val="left"/>
      <w:pPr>
        <w:ind w:left="4973" w:hanging="360"/>
      </w:pPr>
      <w:rPr>
        <w:rFonts w:ascii="Courier New" w:hAnsi="Courier New" w:cs="Courier New" w:hint="default"/>
      </w:rPr>
    </w:lvl>
    <w:lvl w:ilvl="2" w:tplc="08090005" w:tentative="1">
      <w:start w:val="1"/>
      <w:numFmt w:val="bullet"/>
      <w:lvlText w:val=""/>
      <w:lvlJc w:val="left"/>
      <w:pPr>
        <w:ind w:left="5693" w:hanging="360"/>
      </w:pPr>
      <w:rPr>
        <w:rFonts w:ascii="Wingdings" w:hAnsi="Wingdings" w:hint="default"/>
      </w:rPr>
    </w:lvl>
    <w:lvl w:ilvl="3" w:tplc="08090001" w:tentative="1">
      <w:start w:val="1"/>
      <w:numFmt w:val="bullet"/>
      <w:lvlText w:val=""/>
      <w:lvlJc w:val="left"/>
      <w:pPr>
        <w:ind w:left="6413" w:hanging="360"/>
      </w:pPr>
      <w:rPr>
        <w:rFonts w:ascii="Symbol" w:hAnsi="Symbol" w:hint="default"/>
      </w:rPr>
    </w:lvl>
    <w:lvl w:ilvl="4" w:tplc="08090003" w:tentative="1">
      <w:start w:val="1"/>
      <w:numFmt w:val="bullet"/>
      <w:lvlText w:val="o"/>
      <w:lvlJc w:val="left"/>
      <w:pPr>
        <w:ind w:left="7133" w:hanging="360"/>
      </w:pPr>
      <w:rPr>
        <w:rFonts w:ascii="Courier New" w:hAnsi="Courier New" w:cs="Courier New" w:hint="default"/>
      </w:rPr>
    </w:lvl>
    <w:lvl w:ilvl="5" w:tplc="08090005" w:tentative="1">
      <w:start w:val="1"/>
      <w:numFmt w:val="bullet"/>
      <w:lvlText w:val=""/>
      <w:lvlJc w:val="left"/>
      <w:pPr>
        <w:ind w:left="7853" w:hanging="360"/>
      </w:pPr>
      <w:rPr>
        <w:rFonts w:ascii="Wingdings" w:hAnsi="Wingdings" w:hint="default"/>
      </w:rPr>
    </w:lvl>
    <w:lvl w:ilvl="6" w:tplc="08090001" w:tentative="1">
      <w:start w:val="1"/>
      <w:numFmt w:val="bullet"/>
      <w:lvlText w:val=""/>
      <w:lvlJc w:val="left"/>
      <w:pPr>
        <w:ind w:left="8573" w:hanging="360"/>
      </w:pPr>
      <w:rPr>
        <w:rFonts w:ascii="Symbol" w:hAnsi="Symbol" w:hint="default"/>
      </w:rPr>
    </w:lvl>
    <w:lvl w:ilvl="7" w:tplc="08090003" w:tentative="1">
      <w:start w:val="1"/>
      <w:numFmt w:val="bullet"/>
      <w:lvlText w:val="o"/>
      <w:lvlJc w:val="left"/>
      <w:pPr>
        <w:ind w:left="9293" w:hanging="360"/>
      </w:pPr>
      <w:rPr>
        <w:rFonts w:ascii="Courier New" w:hAnsi="Courier New" w:cs="Courier New" w:hint="default"/>
      </w:rPr>
    </w:lvl>
    <w:lvl w:ilvl="8" w:tplc="08090005" w:tentative="1">
      <w:start w:val="1"/>
      <w:numFmt w:val="bullet"/>
      <w:lvlText w:val=""/>
      <w:lvlJc w:val="left"/>
      <w:pPr>
        <w:ind w:left="10013" w:hanging="360"/>
      </w:pPr>
      <w:rPr>
        <w:rFonts w:ascii="Wingdings" w:hAnsi="Wingdings" w:hint="default"/>
      </w:rPr>
    </w:lvl>
  </w:abstractNum>
  <w:abstractNum w:abstractNumId="3" w15:restartNumberingAfterBreak="0">
    <w:nsid w:val="22861E45"/>
    <w:multiLevelType w:val="hybridMultilevel"/>
    <w:tmpl w:val="99388E96"/>
    <w:lvl w:ilvl="0" w:tplc="180AAEB4">
      <w:start w:val="9"/>
      <w:numFmt w:val="decimal"/>
      <w:lvlText w:val="%1"/>
      <w:lvlJc w:val="left"/>
      <w:pPr>
        <w:ind w:left="720" w:hanging="360"/>
      </w:pPr>
      <w:rPr>
        <w:rFonts w:hint="default"/>
      </w:rPr>
    </w:lvl>
    <w:lvl w:ilvl="1" w:tplc="7BF01534">
      <w:start w:val="10"/>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3E7BA3"/>
    <w:multiLevelType w:val="hybridMultilevel"/>
    <w:tmpl w:val="E9589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E05EDC"/>
    <w:multiLevelType w:val="hybridMultilevel"/>
    <w:tmpl w:val="B4525F72"/>
    <w:lvl w:ilvl="0" w:tplc="46C20008">
      <w:start w:val="1"/>
      <w:numFmt w:val="upperLetter"/>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E713F64"/>
    <w:multiLevelType w:val="hybridMultilevel"/>
    <w:tmpl w:val="483815C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6C6856"/>
    <w:multiLevelType w:val="multilevel"/>
    <w:tmpl w:val="7F8A4DE4"/>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36A7B6D"/>
    <w:multiLevelType w:val="hybridMultilevel"/>
    <w:tmpl w:val="3632772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4BB7732"/>
    <w:multiLevelType w:val="hybridMultilevel"/>
    <w:tmpl w:val="141CEE90"/>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ED15B8"/>
    <w:multiLevelType w:val="hybridMultilevel"/>
    <w:tmpl w:val="A190C04A"/>
    <w:lvl w:ilvl="0" w:tplc="8946BC06">
      <w:start w:val="1"/>
      <w:numFmt w:val="upperLetter"/>
      <w:lvlText w:val="%1."/>
      <w:lvlJc w:val="left"/>
      <w:pPr>
        <w:ind w:left="720" w:hanging="360"/>
      </w:pPr>
      <w:rPr>
        <w:rFonts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9E47C0"/>
    <w:multiLevelType w:val="hybridMultilevel"/>
    <w:tmpl w:val="B1B8941E"/>
    <w:lvl w:ilvl="0" w:tplc="EBA0E494">
      <w:start w:val="3"/>
      <w:numFmt w:val="upperLetter"/>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9D66AF"/>
    <w:multiLevelType w:val="hybridMultilevel"/>
    <w:tmpl w:val="22F0DC82"/>
    <w:lvl w:ilvl="0" w:tplc="1500F4EC">
      <w:start w:val="1"/>
      <w:numFmt w:val="bullet"/>
      <w:lvlText w:val=""/>
      <w:lvlJc w:val="left"/>
      <w:pPr>
        <w:ind w:left="720" w:hanging="360"/>
      </w:pPr>
      <w:rPr>
        <w:rFonts w:ascii="Symbol" w:hAnsi="Symbol" w:hint="default"/>
      </w:rPr>
    </w:lvl>
    <w:lvl w:ilvl="1" w:tplc="C94875C8">
      <w:start w:val="1"/>
      <w:numFmt w:val="bullet"/>
      <w:lvlText w:val="o"/>
      <w:lvlJc w:val="left"/>
      <w:pPr>
        <w:ind w:left="1440" w:hanging="360"/>
      </w:pPr>
      <w:rPr>
        <w:rFonts w:ascii="Courier New" w:hAnsi="Courier New" w:hint="default"/>
      </w:rPr>
    </w:lvl>
    <w:lvl w:ilvl="2" w:tplc="044883AA">
      <w:start w:val="1"/>
      <w:numFmt w:val="bullet"/>
      <w:lvlText w:val=""/>
      <w:lvlJc w:val="left"/>
      <w:pPr>
        <w:ind w:left="2160" w:hanging="360"/>
      </w:pPr>
      <w:rPr>
        <w:rFonts w:ascii="Wingdings" w:hAnsi="Wingdings" w:hint="default"/>
      </w:rPr>
    </w:lvl>
    <w:lvl w:ilvl="3" w:tplc="AE42B97C">
      <w:start w:val="1"/>
      <w:numFmt w:val="bullet"/>
      <w:lvlText w:val=""/>
      <w:lvlJc w:val="left"/>
      <w:pPr>
        <w:ind w:left="2880" w:hanging="360"/>
      </w:pPr>
      <w:rPr>
        <w:rFonts w:ascii="Symbol" w:hAnsi="Symbol" w:hint="default"/>
      </w:rPr>
    </w:lvl>
    <w:lvl w:ilvl="4" w:tplc="5906A00E">
      <w:start w:val="1"/>
      <w:numFmt w:val="bullet"/>
      <w:lvlText w:val="o"/>
      <w:lvlJc w:val="left"/>
      <w:pPr>
        <w:ind w:left="3600" w:hanging="360"/>
      </w:pPr>
      <w:rPr>
        <w:rFonts w:ascii="Courier New" w:hAnsi="Courier New" w:hint="default"/>
      </w:rPr>
    </w:lvl>
    <w:lvl w:ilvl="5" w:tplc="B34C0DC6">
      <w:start w:val="1"/>
      <w:numFmt w:val="bullet"/>
      <w:lvlText w:val=""/>
      <w:lvlJc w:val="left"/>
      <w:pPr>
        <w:ind w:left="4320" w:hanging="360"/>
      </w:pPr>
      <w:rPr>
        <w:rFonts w:ascii="Wingdings" w:hAnsi="Wingdings" w:hint="default"/>
      </w:rPr>
    </w:lvl>
    <w:lvl w:ilvl="6" w:tplc="E28A834C">
      <w:start w:val="1"/>
      <w:numFmt w:val="bullet"/>
      <w:lvlText w:val=""/>
      <w:lvlJc w:val="left"/>
      <w:pPr>
        <w:ind w:left="5040" w:hanging="360"/>
      </w:pPr>
      <w:rPr>
        <w:rFonts w:ascii="Symbol" w:hAnsi="Symbol" w:hint="default"/>
      </w:rPr>
    </w:lvl>
    <w:lvl w:ilvl="7" w:tplc="9712393E">
      <w:start w:val="1"/>
      <w:numFmt w:val="bullet"/>
      <w:lvlText w:val="o"/>
      <w:lvlJc w:val="left"/>
      <w:pPr>
        <w:ind w:left="5760" w:hanging="360"/>
      </w:pPr>
      <w:rPr>
        <w:rFonts w:ascii="Courier New" w:hAnsi="Courier New" w:hint="default"/>
      </w:rPr>
    </w:lvl>
    <w:lvl w:ilvl="8" w:tplc="5A328D36">
      <w:start w:val="1"/>
      <w:numFmt w:val="bullet"/>
      <w:lvlText w:val=""/>
      <w:lvlJc w:val="left"/>
      <w:pPr>
        <w:ind w:left="6480" w:hanging="360"/>
      </w:pPr>
      <w:rPr>
        <w:rFonts w:ascii="Wingdings" w:hAnsi="Wingdings" w:hint="default"/>
      </w:rPr>
    </w:lvl>
  </w:abstractNum>
  <w:abstractNum w:abstractNumId="13" w15:restartNumberingAfterBreak="0">
    <w:nsid w:val="5A792339"/>
    <w:multiLevelType w:val="hybridMultilevel"/>
    <w:tmpl w:val="E3A81FFA"/>
    <w:lvl w:ilvl="0" w:tplc="2B384D12">
      <w:start w:val="1"/>
      <w:numFmt w:val="bullet"/>
      <w:lvlText w:val="·"/>
      <w:lvlJc w:val="left"/>
      <w:pPr>
        <w:ind w:left="720" w:hanging="360"/>
      </w:pPr>
      <w:rPr>
        <w:rFonts w:ascii="Symbol" w:hAnsi="Symbol" w:hint="default"/>
      </w:rPr>
    </w:lvl>
    <w:lvl w:ilvl="1" w:tplc="FDC88380">
      <w:start w:val="1"/>
      <w:numFmt w:val="bullet"/>
      <w:lvlText w:val="o"/>
      <w:lvlJc w:val="left"/>
      <w:pPr>
        <w:ind w:left="1440" w:hanging="360"/>
      </w:pPr>
      <w:rPr>
        <w:rFonts w:ascii="Courier New" w:hAnsi="Courier New" w:hint="default"/>
      </w:rPr>
    </w:lvl>
    <w:lvl w:ilvl="2" w:tplc="674E93AE">
      <w:start w:val="1"/>
      <w:numFmt w:val="bullet"/>
      <w:lvlText w:val=""/>
      <w:lvlJc w:val="left"/>
      <w:pPr>
        <w:ind w:left="2160" w:hanging="360"/>
      </w:pPr>
      <w:rPr>
        <w:rFonts w:ascii="Wingdings" w:hAnsi="Wingdings" w:hint="default"/>
      </w:rPr>
    </w:lvl>
    <w:lvl w:ilvl="3" w:tplc="27509F1A">
      <w:start w:val="1"/>
      <w:numFmt w:val="bullet"/>
      <w:lvlText w:val=""/>
      <w:lvlJc w:val="left"/>
      <w:pPr>
        <w:ind w:left="2880" w:hanging="360"/>
      </w:pPr>
      <w:rPr>
        <w:rFonts w:ascii="Symbol" w:hAnsi="Symbol" w:hint="default"/>
      </w:rPr>
    </w:lvl>
    <w:lvl w:ilvl="4" w:tplc="54CA4110">
      <w:start w:val="1"/>
      <w:numFmt w:val="bullet"/>
      <w:lvlText w:val="o"/>
      <w:lvlJc w:val="left"/>
      <w:pPr>
        <w:ind w:left="3600" w:hanging="360"/>
      </w:pPr>
      <w:rPr>
        <w:rFonts w:ascii="Courier New" w:hAnsi="Courier New" w:hint="default"/>
      </w:rPr>
    </w:lvl>
    <w:lvl w:ilvl="5" w:tplc="6E808314">
      <w:start w:val="1"/>
      <w:numFmt w:val="bullet"/>
      <w:lvlText w:val=""/>
      <w:lvlJc w:val="left"/>
      <w:pPr>
        <w:ind w:left="4320" w:hanging="360"/>
      </w:pPr>
      <w:rPr>
        <w:rFonts w:ascii="Wingdings" w:hAnsi="Wingdings" w:hint="default"/>
      </w:rPr>
    </w:lvl>
    <w:lvl w:ilvl="6" w:tplc="33F6D5F8">
      <w:start w:val="1"/>
      <w:numFmt w:val="bullet"/>
      <w:lvlText w:val=""/>
      <w:lvlJc w:val="left"/>
      <w:pPr>
        <w:ind w:left="5040" w:hanging="360"/>
      </w:pPr>
      <w:rPr>
        <w:rFonts w:ascii="Symbol" w:hAnsi="Symbol" w:hint="default"/>
      </w:rPr>
    </w:lvl>
    <w:lvl w:ilvl="7" w:tplc="3A227A4C">
      <w:start w:val="1"/>
      <w:numFmt w:val="bullet"/>
      <w:lvlText w:val="o"/>
      <w:lvlJc w:val="left"/>
      <w:pPr>
        <w:ind w:left="5760" w:hanging="360"/>
      </w:pPr>
      <w:rPr>
        <w:rFonts w:ascii="Courier New" w:hAnsi="Courier New" w:hint="default"/>
      </w:rPr>
    </w:lvl>
    <w:lvl w:ilvl="8" w:tplc="55227466">
      <w:start w:val="1"/>
      <w:numFmt w:val="bullet"/>
      <w:lvlText w:val=""/>
      <w:lvlJc w:val="left"/>
      <w:pPr>
        <w:ind w:left="6480" w:hanging="360"/>
      </w:pPr>
      <w:rPr>
        <w:rFonts w:ascii="Wingdings" w:hAnsi="Wingdings" w:hint="default"/>
      </w:rPr>
    </w:lvl>
  </w:abstractNum>
  <w:abstractNum w:abstractNumId="14" w15:restartNumberingAfterBreak="0">
    <w:nsid w:val="657C1484"/>
    <w:multiLevelType w:val="hybridMultilevel"/>
    <w:tmpl w:val="8B98E880"/>
    <w:lvl w:ilvl="0" w:tplc="6C103564">
      <w:start w:val="1"/>
      <w:numFmt w:val="upperLetter"/>
      <w:lvlText w:val="%1."/>
      <w:lvlJc w:val="left"/>
      <w:pPr>
        <w:ind w:left="720" w:hanging="360"/>
      </w:pPr>
      <w:rPr>
        <w:rFonts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FC6A26"/>
    <w:multiLevelType w:val="hybridMultilevel"/>
    <w:tmpl w:val="FB5ED116"/>
    <w:lvl w:ilvl="0" w:tplc="D4BCF1B6">
      <w:start w:val="1"/>
      <w:numFmt w:val="bullet"/>
      <w:lvlText w:val=""/>
      <w:lvlJc w:val="left"/>
      <w:pPr>
        <w:ind w:left="360" w:hanging="360"/>
      </w:pPr>
      <w:rPr>
        <w:rFonts w:ascii="Symbol" w:hAnsi="Symbol" w:hint="default"/>
      </w:rPr>
    </w:lvl>
    <w:lvl w:ilvl="1" w:tplc="91C22CA6">
      <w:start w:val="1"/>
      <w:numFmt w:val="bullet"/>
      <w:lvlText w:val="o"/>
      <w:lvlJc w:val="left"/>
      <w:pPr>
        <w:ind w:left="1080" w:hanging="360"/>
      </w:pPr>
      <w:rPr>
        <w:rFonts w:ascii="Courier New" w:hAnsi="Courier New" w:hint="default"/>
      </w:rPr>
    </w:lvl>
    <w:lvl w:ilvl="2" w:tplc="3168EF24">
      <w:start w:val="1"/>
      <w:numFmt w:val="bullet"/>
      <w:lvlText w:val=""/>
      <w:lvlJc w:val="left"/>
      <w:pPr>
        <w:ind w:left="1800" w:hanging="360"/>
      </w:pPr>
      <w:rPr>
        <w:rFonts w:ascii="Wingdings" w:hAnsi="Wingdings" w:hint="default"/>
      </w:rPr>
    </w:lvl>
    <w:lvl w:ilvl="3" w:tplc="D1C041BC">
      <w:start w:val="1"/>
      <w:numFmt w:val="bullet"/>
      <w:lvlText w:val=""/>
      <w:lvlJc w:val="left"/>
      <w:pPr>
        <w:ind w:left="2520" w:hanging="360"/>
      </w:pPr>
      <w:rPr>
        <w:rFonts w:ascii="Symbol" w:hAnsi="Symbol" w:hint="default"/>
      </w:rPr>
    </w:lvl>
    <w:lvl w:ilvl="4" w:tplc="46A45368">
      <w:start w:val="1"/>
      <w:numFmt w:val="bullet"/>
      <w:lvlText w:val="o"/>
      <w:lvlJc w:val="left"/>
      <w:pPr>
        <w:ind w:left="3240" w:hanging="360"/>
      </w:pPr>
      <w:rPr>
        <w:rFonts w:ascii="Courier New" w:hAnsi="Courier New" w:hint="default"/>
      </w:rPr>
    </w:lvl>
    <w:lvl w:ilvl="5" w:tplc="53C29F9C">
      <w:start w:val="1"/>
      <w:numFmt w:val="bullet"/>
      <w:lvlText w:val=""/>
      <w:lvlJc w:val="left"/>
      <w:pPr>
        <w:ind w:left="3960" w:hanging="360"/>
      </w:pPr>
      <w:rPr>
        <w:rFonts w:ascii="Wingdings" w:hAnsi="Wingdings" w:hint="default"/>
      </w:rPr>
    </w:lvl>
    <w:lvl w:ilvl="6" w:tplc="D1DC6724">
      <w:start w:val="1"/>
      <w:numFmt w:val="bullet"/>
      <w:lvlText w:val=""/>
      <w:lvlJc w:val="left"/>
      <w:pPr>
        <w:ind w:left="4680" w:hanging="360"/>
      </w:pPr>
      <w:rPr>
        <w:rFonts w:ascii="Symbol" w:hAnsi="Symbol" w:hint="default"/>
      </w:rPr>
    </w:lvl>
    <w:lvl w:ilvl="7" w:tplc="3FD439B0">
      <w:start w:val="1"/>
      <w:numFmt w:val="bullet"/>
      <w:lvlText w:val="o"/>
      <w:lvlJc w:val="left"/>
      <w:pPr>
        <w:ind w:left="5400" w:hanging="360"/>
      </w:pPr>
      <w:rPr>
        <w:rFonts w:ascii="Courier New" w:hAnsi="Courier New" w:hint="default"/>
      </w:rPr>
    </w:lvl>
    <w:lvl w:ilvl="8" w:tplc="62B4FE60">
      <w:start w:val="1"/>
      <w:numFmt w:val="bullet"/>
      <w:lvlText w:val=""/>
      <w:lvlJc w:val="left"/>
      <w:pPr>
        <w:ind w:left="6120" w:hanging="360"/>
      </w:pPr>
      <w:rPr>
        <w:rFonts w:ascii="Wingdings" w:hAnsi="Wingdings" w:hint="default"/>
      </w:rPr>
    </w:lvl>
  </w:abstractNum>
  <w:abstractNum w:abstractNumId="16" w15:restartNumberingAfterBreak="0">
    <w:nsid w:val="6A103078"/>
    <w:multiLevelType w:val="hybridMultilevel"/>
    <w:tmpl w:val="399A5504"/>
    <w:lvl w:ilvl="0" w:tplc="08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7" w15:restartNumberingAfterBreak="0">
    <w:nsid w:val="6C8E4EC4"/>
    <w:multiLevelType w:val="hybridMultilevel"/>
    <w:tmpl w:val="9A1CAE1C"/>
    <w:lvl w:ilvl="0" w:tplc="15B4F86A">
      <w:start w:val="1"/>
      <w:numFmt w:val="decimal"/>
      <w:lvlText w:val="%1."/>
      <w:lvlJc w:val="left"/>
      <w:pPr>
        <w:ind w:left="360" w:hanging="360"/>
      </w:pPr>
      <w:rPr>
        <w:rFonts w:ascii="Arial" w:hAnsi="Arial" w:cs="Arial" w:hint="default"/>
      </w:rPr>
    </w:lvl>
    <w:lvl w:ilvl="1" w:tplc="29B421AC">
      <w:start w:val="1"/>
      <w:numFmt w:val="lowerLetter"/>
      <w:lvlText w:val="%2."/>
      <w:lvlJc w:val="left"/>
      <w:pPr>
        <w:ind w:left="1080" w:hanging="360"/>
      </w:pPr>
    </w:lvl>
    <w:lvl w:ilvl="2" w:tplc="04163908">
      <w:start w:val="1"/>
      <w:numFmt w:val="lowerRoman"/>
      <w:lvlText w:val="%3."/>
      <w:lvlJc w:val="right"/>
      <w:pPr>
        <w:ind w:left="1800" w:hanging="180"/>
      </w:pPr>
    </w:lvl>
    <w:lvl w:ilvl="3" w:tplc="30C0AE14">
      <w:start w:val="1"/>
      <w:numFmt w:val="decimal"/>
      <w:lvlText w:val="%4."/>
      <w:lvlJc w:val="left"/>
      <w:pPr>
        <w:ind w:left="2520" w:hanging="360"/>
      </w:pPr>
    </w:lvl>
    <w:lvl w:ilvl="4" w:tplc="C582C490">
      <w:start w:val="1"/>
      <w:numFmt w:val="lowerLetter"/>
      <w:lvlText w:val="%5."/>
      <w:lvlJc w:val="left"/>
      <w:pPr>
        <w:ind w:left="3240" w:hanging="360"/>
      </w:pPr>
    </w:lvl>
    <w:lvl w:ilvl="5" w:tplc="7CEE16C0">
      <w:start w:val="1"/>
      <w:numFmt w:val="lowerRoman"/>
      <w:lvlText w:val="%6."/>
      <w:lvlJc w:val="right"/>
      <w:pPr>
        <w:ind w:left="3960" w:hanging="180"/>
      </w:pPr>
    </w:lvl>
    <w:lvl w:ilvl="6" w:tplc="05062F64">
      <w:start w:val="1"/>
      <w:numFmt w:val="decimal"/>
      <w:lvlText w:val="%7."/>
      <w:lvlJc w:val="left"/>
      <w:pPr>
        <w:ind w:left="4680" w:hanging="360"/>
      </w:pPr>
    </w:lvl>
    <w:lvl w:ilvl="7" w:tplc="8E7CBEE4">
      <w:start w:val="1"/>
      <w:numFmt w:val="lowerLetter"/>
      <w:lvlText w:val="%8."/>
      <w:lvlJc w:val="left"/>
      <w:pPr>
        <w:ind w:left="5400" w:hanging="360"/>
      </w:pPr>
    </w:lvl>
    <w:lvl w:ilvl="8" w:tplc="DEBA3E18">
      <w:start w:val="1"/>
      <w:numFmt w:val="lowerRoman"/>
      <w:lvlText w:val="%9."/>
      <w:lvlJc w:val="right"/>
      <w:pPr>
        <w:ind w:left="6120" w:hanging="180"/>
      </w:pPr>
    </w:lvl>
  </w:abstractNum>
  <w:abstractNum w:abstractNumId="18" w15:restartNumberingAfterBreak="0">
    <w:nsid w:val="70095465"/>
    <w:multiLevelType w:val="hybridMultilevel"/>
    <w:tmpl w:val="F77279AA"/>
    <w:lvl w:ilvl="0" w:tplc="BA5291FC">
      <w:start w:val="1"/>
      <w:numFmt w:val="lowerLetter"/>
      <w:lvlText w:val="%1."/>
      <w:lvlJc w:val="left"/>
      <w:pPr>
        <w:ind w:left="720" w:hanging="360"/>
      </w:pPr>
      <w:rPr>
        <w:rFonts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10"/>
  </w:num>
  <w:num w:numId="4">
    <w:abstractNumId w:val="18"/>
  </w:num>
  <w:num w:numId="5">
    <w:abstractNumId w:val="14"/>
  </w:num>
  <w:num w:numId="6">
    <w:abstractNumId w:val="9"/>
  </w:num>
  <w:num w:numId="7">
    <w:abstractNumId w:val="11"/>
  </w:num>
  <w:num w:numId="8">
    <w:abstractNumId w:val="4"/>
  </w:num>
  <w:num w:numId="9">
    <w:abstractNumId w:val="2"/>
  </w:num>
  <w:num w:numId="10">
    <w:abstractNumId w:val="8"/>
  </w:num>
  <w:num w:numId="11">
    <w:abstractNumId w:val="3"/>
  </w:num>
  <w:num w:numId="12">
    <w:abstractNumId w:val="17"/>
  </w:num>
  <w:num w:numId="13">
    <w:abstractNumId w:val="12"/>
  </w:num>
  <w:num w:numId="14">
    <w:abstractNumId w:val="13"/>
  </w:num>
  <w:num w:numId="15">
    <w:abstractNumId w:val="1"/>
  </w:num>
  <w:num w:numId="16">
    <w:abstractNumId w:val="0"/>
  </w:num>
  <w:num w:numId="17">
    <w:abstractNumId w:val="15"/>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D28"/>
    <w:rsid w:val="00012F58"/>
    <w:rsid w:val="00015F1A"/>
    <w:rsid w:val="00030819"/>
    <w:rsid w:val="00031FA2"/>
    <w:rsid w:val="00035815"/>
    <w:rsid w:val="00044470"/>
    <w:rsid w:val="00053747"/>
    <w:rsid w:val="000548F2"/>
    <w:rsid w:val="000639CA"/>
    <w:rsid w:val="000642AB"/>
    <w:rsid w:val="0007538B"/>
    <w:rsid w:val="0007554E"/>
    <w:rsid w:val="0007567E"/>
    <w:rsid w:val="00076999"/>
    <w:rsid w:val="00087CF8"/>
    <w:rsid w:val="00090BBF"/>
    <w:rsid w:val="000915C1"/>
    <w:rsid w:val="00092DA5"/>
    <w:rsid w:val="000936E6"/>
    <w:rsid w:val="00093FD8"/>
    <w:rsid w:val="000950C7"/>
    <w:rsid w:val="00096163"/>
    <w:rsid w:val="000A187F"/>
    <w:rsid w:val="000A7BEB"/>
    <w:rsid w:val="000B01FD"/>
    <w:rsid w:val="000B2250"/>
    <w:rsid w:val="000B3226"/>
    <w:rsid w:val="000B578D"/>
    <w:rsid w:val="000B635A"/>
    <w:rsid w:val="000B6D03"/>
    <w:rsid w:val="000C31C8"/>
    <w:rsid w:val="000C3E05"/>
    <w:rsid w:val="000D2D45"/>
    <w:rsid w:val="000D3899"/>
    <w:rsid w:val="000D55DC"/>
    <w:rsid w:val="000E1A3A"/>
    <w:rsid w:val="000E316B"/>
    <w:rsid w:val="000E4264"/>
    <w:rsid w:val="000E674A"/>
    <w:rsid w:val="000F04CE"/>
    <w:rsid w:val="000F19D4"/>
    <w:rsid w:val="00100036"/>
    <w:rsid w:val="0010243F"/>
    <w:rsid w:val="00110D28"/>
    <w:rsid w:val="00122F28"/>
    <w:rsid w:val="0012370D"/>
    <w:rsid w:val="00126EB5"/>
    <w:rsid w:val="00132727"/>
    <w:rsid w:val="001357C8"/>
    <w:rsid w:val="00140567"/>
    <w:rsid w:val="0014370C"/>
    <w:rsid w:val="00143A41"/>
    <w:rsid w:val="00145C5C"/>
    <w:rsid w:val="001472F1"/>
    <w:rsid w:val="00152D2F"/>
    <w:rsid w:val="00161D8B"/>
    <w:rsid w:val="00162DAE"/>
    <w:rsid w:val="001700CF"/>
    <w:rsid w:val="00172D21"/>
    <w:rsid w:val="001750C9"/>
    <w:rsid w:val="00176C98"/>
    <w:rsid w:val="001810A9"/>
    <w:rsid w:val="00184DD0"/>
    <w:rsid w:val="00187DA7"/>
    <w:rsid w:val="00187E21"/>
    <w:rsid w:val="001914BC"/>
    <w:rsid w:val="00192C21"/>
    <w:rsid w:val="00193BFC"/>
    <w:rsid w:val="001C6ED1"/>
    <w:rsid w:val="001D3378"/>
    <w:rsid w:val="001D3422"/>
    <w:rsid w:val="001D4725"/>
    <w:rsid w:val="001D4BA8"/>
    <w:rsid w:val="001D668C"/>
    <w:rsid w:val="001E4E40"/>
    <w:rsid w:val="001E6611"/>
    <w:rsid w:val="001E7C64"/>
    <w:rsid w:val="002035FD"/>
    <w:rsid w:val="0021730C"/>
    <w:rsid w:val="0022130C"/>
    <w:rsid w:val="00223AC7"/>
    <w:rsid w:val="002250B9"/>
    <w:rsid w:val="00227175"/>
    <w:rsid w:val="002451A5"/>
    <w:rsid w:val="00246D5D"/>
    <w:rsid w:val="00255B2E"/>
    <w:rsid w:val="0025705C"/>
    <w:rsid w:val="00257CC0"/>
    <w:rsid w:val="00262F72"/>
    <w:rsid w:val="00263E0A"/>
    <w:rsid w:val="00263ECB"/>
    <w:rsid w:val="002733FA"/>
    <w:rsid w:val="00274A69"/>
    <w:rsid w:val="00275D1F"/>
    <w:rsid w:val="00276931"/>
    <w:rsid w:val="00285B10"/>
    <w:rsid w:val="00290737"/>
    <w:rsid w:val="00291C20"/>
    <w:rsid w:val="0029793E"/>
    <w:rsid w:val="002A5E65"/>
    <w:rsid w:val="002A6E9E"/>
    <w:rsid w:val="002A787A"/>
    <w:rsid w:val="002B117F"/>
    <w:rsid w:val="002B4030"/>
    <w:rsid w:val="002B4573"/>
    <w:rsid w:val="002B56B4"/>
    <w:rsid w:val="002C0F9B"/>
    <w:rsid w:val="002D72C7"/>
    <w:rsid w:val="002F4597"/>
    <w:rsid w:val="002F68CE"/>
    <w:rsid w:val="002F6CFC"/>
    <w:rsid w:val="0030104A"/>
    <w:rsid w:val="00304ECE"/>
    <w:rsid w:val="00306306"/>
    <w:rsid w:val="00307118"/>
    <w:rsid w:val="00312C5E"/>
    <w:rsid w:val="00323E25"/>
    <w:rsid w:val="00327BE3"/>
    <w:rsid w:val="00331585"/>
    <w:rsid w:val="0034535D"/>
    <w:rsid w:val="003618FC"/>
    <w:rsid w:val="0037336D"/>
    <w:rsid w:val="00373CE6"/>
    <w:rsid w:val="003766E2"/>
    <w:rsid w:val="00383A2B"/>
    <w:rsid w:val="003843FE"/>
    <w:rsid w:val="00391616"/>
    <w:rsid w:val="00397569"/>
    <w:rsid w:val="00397C7B"/>
    <w:rsid w:val="003A7CC2"/>
    <w:rsid w:val="003B3086"/>
    <w:rsid w:val="003B6201"/>
    <w:rsid w:val="003B6A98"/>
    <w:rsid w:val="003C2DE0"/>
    <w:rsid w:val="003C3FA5"/>
    <w:rsid w:val="003C650D"/>
    <w:rsid w:val="003C6667"/>
    <w:rsid w:val="003D23F6"/>
    <w:rsid w:val="003D3000"/>
    <w:rsid w:val="003D68F6"/>
    <w:rsid w:val="003E106C"/>
    <w:rsid w:val="003E128D"/>
    <w:rsid w:val="00410A94"/>
    <w:rsid w:val="00413E6F"/>
    <w:rsid w:val="00441F35"/>
    <w:rsid w:val="004435C2"/>
    <w:rsid w:val="0044751B"/>
    <w:rsid w:val="00450B2B"/>
    <w:rsid w:val="00451CFA"/>
    <w:rsid w:val="004573E4"/>
    <w:rsid w:val="00461D18"/>
    <w:rsid w:val="00465334"/>
    <w:rsid w:val="004665A2"/>
    <w:rsid w:val="00466D73"/>
    <w:rsid w:val="00472F80"/>
    <w:rsid w:val="00474B32"/>
    <w:rsid w:val="00474BCD"/>
    <w:rsid w:val="00480024"/>
    <w:rsid w:val="0048318C"/>
    <w:rsid w:val="0048453F"/>
    <w:rsid w:val="004914BD"/>
    <w:rsid w:val="004B3379"/>
    <w:rsid w:val="004B4081"/>
    <w:rsid w:val="004B51C2"/>
    <w:rsid w:val="004B550A"/>
    <w:rsid w:val="004B60C8"/>
    <w:rsid w:val="004C0EAE"/>
    <w:rsid w:val="004C3602"/>
    <w:rsid w:val="004D2A27"/>
    <w:rsid w:val="004D2C18"/>
    <w:rsid w:val="004D2FAA"/>
    <w:rsid w:val="004D6872"/>
    <w:rsid w:val="004E249C"/>
    <w:rsid w:val="004E34E7"/>
    <w:rsid w:val="004F069B"/>
    <w:rsid w:val="004F56C2"/>
    <w:rsid w:val="00501CC7"/>
    <w:rsid w:val="0050200F"/>
    <w:rsid w:val="005069FA"/>
    <w:rsid w:val="005231AB"/>
    <w:rsid w:val="005239E8"/>
    <w:rsid w:val="00524335"/>
    <w:rsid w:val="00536921"/>
    <w:rsid w:val="005428FC"/>
    <w:rsid w:val="00544DDF"/>
    <w:rsid w:val="00551B8E"/>
    <w:rsid w:val="0055417C"/>
    <w:rsid w:val="00557C40"/>
    <w:rsid w:val="00560771"/>
    <w:rsid w:val="0056134D"/>
    <w:rsid w:val="005663C3"/>
    <w:rsid w:val="00572F0C"/>
    <w:rsid w:val="00575C9A"/>
    <w:rsid w:val="0057792F"/>
    <w:rsid w:val="00580AA0"/>
    <w:rsid w:val="00581A68"/>
    <w:rsid w:val="00582537"/>
    <w:rsid w:val="00582DD4"/>
    <w:rsid w:val="0058681F"/>
    <w:rsid w:val="005876F4"/>
    <w:rsid w:val="00587DB3"/>
    <w:rsid w:val="005A11B9"/>
    <w:rsid w:val="005A186F"/>
    <w:rsid w:val="005A70CC"/>
    <w:rsid w:val="005B009D"/>
    <w:rsid w:val="005B6417"/>
    <w:rsid w:val="005B6F98"/>
    <w:rsid w:val="005C070C"/>
    <w:rsid w:val="005C76D7"/>
    <w:rsid w:val="005D0D59"/>
    <w:rsid w:val="005D46C7"/>
    <w:rsid w:val="005E3945"/>
    <w:rsid w:val="005E6933"/>
    <w:rsid w:val="005F4467"/>
    <w:rsid w:val="005F7669"/>
    <w:rsid w:val="00605FD7"/>
    <w:rsid w:val="0060777C"/>
    <w:rsid w:val="00616ED0"/>
    <w:rsid w:val="00621500"/>
    <w:rsid w:val="00621BAE"/>
    <w:rsid w:val="00624DC6"/>
    <w:rsid w:val="00641907"/>
    <w:rsid w:val="006448A0"/>
    <w:rsid w:val="006460D9"/>
    <w:rsid w:val="00650D00"/>
    <w:rsid w:val="006607A8"/>
    <w:rsid w:val="00661B27"/>
    <w:rsid w:val="00666299"/>
    <w:rsid w:val="0067023B"/>
    <w:rsid w:val="0067211A"/>
    <w:rsid w:val="00676D78"/>
    <w:rsid w:val="0068011C"/>
    <w:rsid w:val="0068088B"/>
    <w:rsid w:val="00687EFF"/>
    <w:rsid w:val="00690DB3"/>
    <w:rsid w:val="006917BA"/>
    <w:rsid w:val="00695A00"/>
    <w:rsid w:val="006967ED"/>
    <w:rsid w:val="0069686D"/>
    <w:rsid w:val="006A174B"/>
    <w:rsid w:val="006A1C4F"/>
    <w:rsid w:val="006B41B7"/>
    <w:rsid w:val="006B7593"/>
    <w:rsid w:val="006C4500"/>
    <w:rsid w:val="006C7418"/>
    <w:rsid w:val="006D0F46"/>
    <w:rsid w:val="006D1846"/>
    <w:rsid w:val="006D3752"/>
    <w:rsid w:val="006F49F0"/>
    <w:rsid w:val="00700B8E"/>
    <w:rsid w:val="00703E92"/>
    <w:rsid w:val="00704E01"/>
    <w:rsid w:val="00707353"/>
    <w:rsid w:val="00713266"/>
    <w:rsid w:val="007275CE"/>
    <w:rsid w:val="007315CE"/>
    <w:rsid w:val="00731E2B"/>
    <w:rsid w:val="00733E17"/>
    <w:rsid w:val="00734E1B"/>
    <w:rsid w:val="00735260"/>
    <w:rsid w:val="00735341"/>
    <w:rsid w:val="0073541E"/>
    <w:rsid w:val="007365ED"/>
    <w:rsid w:val="0074081A"/>
    <w:rsid w:val="00744082"/>
    <w:rsid w:val="00744E68"/>
    <w:rsid w:val="00745B22"/>
    <w:rsid w:val="007461E3"/>
    <w:rsid w:val="007464FC"/>
    <w:rsid w:val="007475AF"/>
    <w:rsid w:val="007504C1"/>
    <w:rsid w:val="00750F00"/>
    <w:rsid w:val="00754CCC"/>
    <w:rsid w:val="00756C7E"/>
    <w:rsid w:val="007617FF"/>
    <w:rsid w:val="00767D56"/>
    <w:rsid w:val="0077151A"/>
    <w:rsid w:val="007744B6"/>
    <w:rsid w:val="00774721"/>
    <w:rsid w:val="00783519"/>
    <w:rsid w:val="00784583"/>
    <w:rsid w:val="0078689D"/>
    <w:rsid w:val="00786E69"/>
    <w:rsid w:val="0078713E"/>
    <w:rsid w:val="00787618"/>
    <w:rsid w:val="00791212"/>
    <w:rsid w:val="0079395D"/>
    <w:rsid w:val="007A12DB"/>
    <w:rsid w:val="007A2D62"/>
    <w:rsid w:val="007A51F9"/>
    <w:rsid w:val="007A678B"/>
    <w:rsid w:val="007B2DAB"/>
    <w:rsid w:val="007B7FA8"/>
    <w:rsid w:val="007C05C2"/>
    <w:rsid w:val="007C1897"/>
    <w:rsid w:val="007C4E81"/>
    <w:rsid w:val="007C52AD"/>
    <w:rsid w:val="007D1B18"/>
    <w:rsid w:val="007E13E3"/>
    <w:rsid w:val="007E7529"/>
    <w:rsid w:val="007F0960"/>
    <w:rsid w:val="007F2E7A"/>
    <w:rsid w:val="007F324A"/>
    <w:rsid w:val="007F50DE"/>
    <w:rsid w:val="007F5DBE"/>
    <w:rsid w:val="007F77AE"/>
    <w:rsid w:val="00801802"/>
    <w:rsid w:val="008018F0"/>
    <w:rsid w:val="008029CE"/>
    <w:rsid w:val="008034BD"/>
    <w:rsid w:val="00804386"/>
    <w:rsid w:val="008054AE"/>
    <w:rsid w:val="00814719"/>
    <w:rsid w:val="00814A4D"/>
    <w:rsid w:val="00831616"/>
    <w:rsid w:val="00831AF3"/>
    <w:rsid w:val="00834C91"/>
    <w:rsid w:val="00834ED5"/>
    <w:rsid w:val="00837D1F"/>
    <w:rsid w:val="00854D09"/>
    <w:rsid w:val="00856D7D"/>
    <w:rsid w:val="008672A7"/>
    <w:rsid w:val="008776A3"/>
    <w:rsid w:val="00885B1D"/>
    <w:rsid w:val="00886362"/>
    <w:rsid w:val="00887D98"/>
    <w:rsid w:val="00892C8B"/>
    <w:rsid w:val="00894DFA"/>
    <w:rsid w:val="008A4962"/>
    <w:rsid w:val="008A6FC3"/>
    <w:rsid w:val="008C2F9D"/>
    <w:rsid w:val="008C4CC1"/>
    <w:rsid w:val="008D1CB1"/>
    <w:rsid w:val="008D25EC"/>
    <w:rsid w:val="008E1CC8"/>
    <w:rsid w:val="008E3051"/>
    <w:rsid w:val="008E380F"/>
    <w:rsid w:val="0090135A"/>
    <w:rsid w:val="009064A8"/>
    <w:rsid w:val="009122E6"/>
    <w:rsid w:val="009125DC"/>
    <w:rsid w:val="00914CFD"/>
    <w:rsid w:val="00917CD0"/>
    <w:rsid w:val="0094544F"/>
    <w:rsid w:val="00946B30"/>
    <w:rsid w:val="0095220E"/>
    <w:rsid w:val="00952275"/>
    <w:rsid w:val="00956030"/>
    <w:rsid w:val="00956413"/>
    <w:rsid w:val="0096193D"/>
    <w:rsid w:val="009619FA"/>
    <w:rsid w:val="00966685"/>
    <w:rsid w:val="00966911"/>
    <w:rsid w:val="009730C0"/>
    <w:rsid w:val="00974512"/>
    <w:rsid w:val="00977761"/>
    <w:rsid w:val="009777AA"/>
    <w:rsid w:val="00981E03"/>
    <w:rsid w:val="0098235E"/>
    <w:rsid w:val="00983BBE"/>
    <w:rsid w:val="009942E7"/>
    <w:rsid w:val="009A08B1"/>
    <w:rsid w:val="009B7FEF"/>
    <w:rsid w:val="009C5FEA"/>
    <w:rsid w:val="009C6C47"/>
    <w:rsid w:val="009D2DEC"/>
    <w:rsid w:val="009E27BD"/>
    <w:rsid w:val="009F4F54"/>
    <w:rsid w:val="009F5043"/>
    <w:rsid w:val="00A00F20"/>
    <w:rsid w:val="00A016E1"/>
    <w:rsid w:val="00A02B4C"/>
    <w:rsid w:val="00A03D2B"/>
    <w:rsid w:val="00A06E5C"/>
    <w:rsid w:val="00A07411"/>
    <w:rsid w:val="00A110E7"/>
    <w:rsid w:val="00A1310C"/>
    <w:rsid w:val="00A1353F"/>
    <w:rsid w:val="00A16240"/>
    <w:rsid w:val="00A25A63"/>
    <w:rsid w:val="00A278EB"/>
    <w:rsid w:val="00A30C7D"/>
    <w:rsid w:val="00A3216A"/>
    <w:rsid w:val="00A3447D"/>
    <w:rsid w:val="00A34ED9"/>
    <w:rsid w:val="00A36BA3"/>
    <w:rsid w:val="00A41EFB"/>
    <w:rsid w:val="00A43845"/>
    <w:rsid w:val="00A609E2"/>
    <w:rsid w:val="00A67D2A"/>
    <w:rsid w:val="00A71DD9"/>
    <w:rsid w:val="00A736EF"/>
    <w:rsid w:val="00A73A2E"/>
    <w:rsid w:val="00A7531B"/>
    <w:rsid w:val="00A7605F"/>
    <w:rsid w:val="00A80BB8"/>
    <w:rsid w:val="00A80FAF"/>
    <w:rsid w:val="00A81FF0"/>
    <w:rsid w:val="00A84F41"/>
    <w:rsid w:val="00A85FD0"/>
    <w:rsid w:val="00A9082E"/>
    <w:rsid w:val="00AA33F2"/>
    <w:rsid w:val="00AB4282"/>
    <w:rsid w:val="00AC1EA8"/>
    <w:rsid w:val="00AD4921"/>
    <w:rsid w:val="00AD56CA"/>
    <w:rsid w:val="00AE07E3"/>
    <w:rsid w:val="00AE129F"/>
    <w:rsid w:val="00B0115A"/>
    <w:rsid w:val="00B03F63"/>
    <w:rsid w:val="00B063B7"/>
    <w:rsid w:val="00B07D28"/>
    <w:rsid w:val="00B12B6C"/>
    <w:rsid w:val="00B14DA2"/>
    <w:rsid w:val="00B161D0"/>
    <w:rsid w:val="00B20EF1"/>
    <w:rsid w:val="00B2393A"/>
    <w:rsid w:val="00B30993"/>
    <w:rsid w:val="00B320E6"/>
    <w:rsid w:val="00B32502"/>
    <w:rsid w:val="00B3252E"/>
    <w:rsid w:val="00B33CE5"/>
    <w:rsid w:val="00B34156"/>
    <w:rsid w:val="00B36119"/>
    <w:rsid w:val="00B36F85"/>
    <w:rsid w:val="00B456E8"/>
    <w:rsid w:val="00B57356"/>
    <w:rsid w:val="00B61458"/>
    <w:rsid w:val="00B656A1"/>
    <w:rsid w:val="00B771C6"/>
    <w:rsid w:val="00B86D28"/>
    <w:rsid w:val="00B96D33"/>
    <w:rsid w:val="00BA52AD"/>
    <w:rsid w:val="00BA6077"/>
    <w:rsid w:val="00BB19EE"/>
    <w:rsid w:val="00BB4C56"/>
    <w:rsid w:val="00BB53FC"/>
    <w:rsid w:val="00BB7386"/>
    <w:rsid w:val="00BC43BB"/>
    <w:rsid w:val="00BD0043"/>
    <w:rsid w:val="00BD2969"/>
    <w:rsid w:val="00BD74A2"/>
    <w:rsid w:val="00BE0F60"/>
    <w:rsid w:val="00BE120E"/>
    <w:rsid w:val="00BE1499"/>
    <w:rsid w:val="00BF11F0"/>
    <w:rsid w:val="00BF1CC5"/>
    <w:rsid w:val="00BF48EB"/>
    <w:rsid w:val="00BF704F"/>
    <w:rsid w:val="00C0158D"/>
    <w:rsid w:val="00C018E7"/>
    <w:rsid w:val="00C0318A"/>
    <w:rsid w:val="00C12C8C"/>
    <w:rsid w:val="00C1402D"/>
    <w:rsid w:val="00C170FE"/>
    <w:rsid w:val="00C1735A"/>
    <w:rsid w:val="00C17EC4"/>
    <w:rsid w:val="00C2729D"/>
    <w:rsid w:val="00C3603A"/>
    <w:rsid w:val="00C4160B"/>
    <w:rsid w:val="00C52CB9"/>
    <w:rsid w:val="00C61504"/>
    <w:rsid w:val="00C63FE3"/>
    <w:rsid w:val="00C7415C"/>
    <w:rsid w:val="00C76521"/>
    <w:rsid w:val="00C76D08"/>
    <w:rsid w:val="00C81B96"/>
    <w:rsid w:val="00C81FB9"/>
    <w:rsid w:val="00C85B7C"/>
    <w:rsid w:val="00C87A1B"/>
    <w:rsid w:val="00C9396F"/>
    <w:rsid w:val="00C97BF1"/>
    <w:rsid w:val="00CA02F4"/>
    <w:rsid w:val="00CB572C"/>
    <w:rsid w:val="00CB62DC"/>
    <w:rsid w:val="00CB7DE2"/>
    <w:rsid w:val="00CC1B38"/>
    <w:rsid w:val="00CC280C"/>
    <w:rsid w:val="00CC7B08"/>
    <w:rsid w:val="00CD500B"/>
    <w:rsid w:val="00CE1268"/>
    <w:rsid w:val="00CE242B"/>
    <w:rsid w:val="00CF294B"/>
    <w:rsid w:val="00CF2A6F"/>
    <w:rsid w:val="00CF64E0"/>
    <w:rsid w:val="00D05D22"/>
    <w:rsid w:val="00D10214"/>
    <w:rsid w:val="00D1067D"/>
    <w:rsid w:val="00D13D05"/>
    <w:rsid w:val="00D23B23"/>
    <w:rsid w:val="00D23C86"/>
    <w:rsid w:val="00D427B4"/>
    <w:rsid w:val="00D429D8"/>
    <w:rsid w:val="00D43970"/>
    <w:rsid w:val="00D53C75"/>
    <w:rsid w:val="00D56C51"/>
    <w:rsid w:val="00D56FCB"/>
    <w:rsid w:val="00D7673B"/>
    <w:rsid w:val="00D806E4"/>
    <w:rsid w:val="00D80D4A"/>
    <w:rsid w:val="00D85085"/>
    <w:rsid w:val="00D87B52"/>
    <w:rsid w:val="00D92652"/>
    <w:rsid w:val="00D96A9B"/>
    <w:rsid w:val="00DA09B2"/>
    <w:rsid w:val="00DA4C64"/>
    <w:rsid w:val="00DB0C30"/>
    <w:rsid w:val="00DB1CEB"/>
    <w:rsid w:val="00DB3CEA"/>
    <w:rsid w:val="00DB7556"/>
    <w:rsid w:val="00DC065D"/>
    <w:rsid w:val="00DC3E6A"/>
    <w:rsid w:val="00DC7455"/>
    <w:rsid w:val="00DE30AE"/>
    <w:rsid w:val="00DE4CCC"/>
    <w:rsid w:val="00DF022C"/>
    <w:rsid w:val="00DF73CE"/>
    <w:rsid w:val="00E030D8"/>
    <w:rsid w:val="00E07552"/>
    <w:rsid w:val="00E134D4"/>
    <w:rsid w:val="00E155DD"/>
    <w:rsid w:val="00E21073"/>
    <w:rsid w:val="00E277B6"/>
    <w:rsid w:val="00E30870"/>
    <w:rsid w:val="00E313B6"/>
    <w:rsid w:val="00E32DB5"/>
    <w:rsid w:val="00E33AB0"/>
    <w:rsid w:val="00E33FDB"/>
    <w:rsid w:val="00E4047A"/>
    <w:rsid w:val="00E50718"/>
    <w:rsid w:val="00E556CD"/>
    <w:rsid w:val="00E61204"/>
    <w:rsid w:val="00E61360"/>
    <w:rsid w:val="00E620B6"/>
    <w:rsid w:val="00E6220C"/>
    <w:rsid w:val="00E62277"/>
    <w:rsid w:val="00E74CF8"/>
    <w:rsid w:val="00E77428"/>
    <w:rsid w:val="00E83B19"/>
    <w:rsid w:val="00E85542"/>
    <w:rsid w:val="00EC296A"/>
    <w:rsid w:val="00EC3207"/>
    <w:rsid w:val="00EC3864"/>
    <w:rsid w:val="00EC3E75"/>
    <w:rsid w:val="00ED13A4"/>
    <w:rsid w:val="00ED1D91"/>
    <w:rsid w:val="00ED5067"/>
    <w:rsid w:val="00ED54E0"/>
    <w:rsid w:val="00ED6B02"/>
    <w:rsid w:val="00EE038E"/>
    <w:rsid w:val="00EE29BB"/>
    <w:rsid w:val="00EE3DBB"/>
    <w:rsid w:val="00EE5904"/>
    <w:rsid w:val="00EE7E36"/>
    <w:rsid w:val="00EF2115"/>
    <w:rsid w:val="00EF277C"/>
    <w:rsid w:val="00EF529E"/>
    <w:rsid w:val="00EF557E"/>
    <w:rsid w:val="00F01C5C"/>
    <w:rsid w:val="00F0336B"/>
    <w:rsid w:val="00F10C81"/>
    <w:rsid w:val="00F143DC"/>
    <w:rsid w:val="00F166BA"/>
    <w:rsid w:val="00F17A62"/>
    <w:rsid w:val="00F24EB2"/>
    <w:rsid w:val="00F271B6"/>
    <w:rsid w:val="00F40209"/>
    <w:rsid w:val="00F41271"/>
    <w:rsid w:val="00F529EC"/>
    <w:rsid w:val="00F53FEB"/>
    <w:rsid w:val="00F55211"/>
    <w:rsid w:val="00F57BC1"/>
    <w:rsid w:val="00F65D9F"/>
    <w:rsid w:val="00F66F4B"/>
    <w:rsid w:val="00F70C31"/>
    <w:rsid w:val="00F80622"/>
    <w:rsid w:val="00F81347"/>
    <w:rsid w:val="00F83941"/>
    <w:rsid w:val="00F86CBA"/>
    <w:rsid w:val="00F876DD"/>
    <w:rsid w:val="00F9295B"/>
    <w:rsid w:val="00F97BC7"/>
    <w:rsid w:val="00FA2BF7"/>
    <w:rsid w:val="00FA6E84"/>
    <w:rsid w:val="00FA7A6A"/>
    <w:rsid w:val="00FB512A"/>
    <w:rsid w:val="00FB7C84"/>
    <w:rsid w:val="00FD0EF9"/>
    <w:rsid w:val="00FD344F"/>
    <w:rsid w:val="00FE2550"/>
    <w:rsid w:val="00FE4F22"/>
    <w:rsid w:val="00FF1A26"/>
    <w:rsid w:val="00FF2A53"/>
    <w:rsid w:val="00FF7C94"/>
    <w:rsid w:val="1D4DAB0B"/>
    <w:rsid w:val="503B9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5B710A"/>
  <w15:chartTrackingRefBased/>
  <w15:docId w15:val="{0A917F3E-EC74-4348-BD79-335E08FE1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7D28"/>
    <w:pPr>
      <w:spacing w:after="200" w:line="276" w:lineRule="auto"/>
    </w:pPr>
    <w:rPr>
      <w:rFonts w:ascii="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D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7D28"/>
  </w:style>
  <w:style w:type="paragraph" w:styleId="Footer">
    <w:name w:val="footer"/>
    <w:basedOn w:val="Normal"/>
    <w:link w:val="FooterChar"/>
    <w:uiPriority w:val="99"/>
    <w:unhideWhenUsed/>
    <w:rsid w:val="00B07D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7D28"/>
  </w:style>
  <w:style w:type="paragraph" w:styleId="ListParagraph">
    <w:name w:val="List Paragraph"/>
    <w:basedOn w:val="Normal"/>
    <w:uiPriority w:val="34"/>
    <w:qFormat/>
    <w:rsid w:val="00B07D28"/>
    <w:pPr>
      <w:ind w:left="720"/>
      <w:contextualSpacing/>
    </w:pPr>
  </w:style>
  <w:style w:type="table" w:styleId="TableGrid">
    <w:name w:val="Table Grid"/>
    <w:basedOn w:val="TableNormal"/>
    <w:uiPriority w:val="39"/>
    <w:rsid w:val="00B07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d0c8b1e4-e149-4675-ae17-76641f59c2e5" xsi:nil="true"/>
    <_ip_UnifiedCompliancePolicyUIAction xmlns="http://schemas.microsoft.com/sharepoint/v3" xsi:nil="true"/>
    <FolderType xmlns="d0c8b1e4-e149-4675-ae17-76641f59c2e5" xsi:nil="true"/>
    <Students xmlns="d0c8b1e4-e149-4675-ae17-76641f59c2e5">
      <UserInfo>
        <DisplayName/>
        <AccountId xsi:nil="true"/>
        <AccountType/>
      </UserInfo>
    </Students>
    <Is_Collaboration_Space_Locked xmlns="d0c8b1e4-e149-4675-ae17-76641f59c2e5" xsi:nil="true"/>
    <AppVersion xmlns="d0c8b1e4-e149-4675-ae17-76641f59c2e5" xsi:nil="true"/>
    <Student_Groups xmlns="d0c8b1e4-e149-4675-ae17-76641f59c2e5">
      <UserInfo>
        <DisplayName/>
        <AccountId xsi:nil="true"/>
        <AccountType/>
      </UserInfo>
    </Student_Groups>
    <Math_Settings xmlns="d0c8b1e4-e149-4675-ae17-76641f59c2e5" xsi:nil="true"/>
    <Owner xmlns="d0c8b1e4-e149-4675-ae17-76641f59c2e5">
      <UserInfo>
        <DisplayName/>
        <AccountId xsi:nil="true"/>
        <AccountType/>
      </UserInfo>
    </Owner>
    <_ip_UnifiedCompliancePolicyProperties xmlns="http://schemas.microsoft.com/sharepoint/v3" xsi:nil="true"/>
    <Has_Teacher_Only_SectionGroup xmlns="d0c8b1e4-e149-4675-ae17-76641f59c2e5" xsi:nil="true"/>
    <DefaultSectionNames xmlns="d0c8b1e4-e149-4675-ae17-76641f59c2e5" xsi:nil="true"/>
    <NotebookType xmlns="d0c8b1e4-e149-4675-ae17-76641f59c2e5" xsi:nil="true"/>
    <Teachers xmlns="d0c8b1e4-e149-4675-ae17-76641f59c2e5">
      <UserInfo>
        <DisplayName/>
        <AccountId xsi:nil="true"/>
        <AccountType/>
      </UserInfo>
    </Teachers>
    <Templates xmlns="d0c8b1e4-e149-4675-ae17-76641f59c2e5" xsi:nil="true"/>
    <LMS_Mappings xmlns="d0c8b1e4-e149-4675-ae17-76641f59c2e5" xsi:nil="true"/>
    <Invited_Teachers xmlns="d0c8b1e4-e149-4675-ae17-76641f59c2e5" xsi:nil="true"/>
    <Invited_Students xmlns="d0c8b1e4-e149-4675-ae17-76641f59c2e5" xsi:nil="true"/>
    <IsNotebookLocked xmlns="d0c8b1e4-e149-4675-ae17-76641f59c2e5" xsi:nil="true"/>
    <CultureName xmlns="d0c8b1e4-e149-4675-ae17-76641f59c2e5" xsi:nil="true"/>
    <Distribution_Groups xmlns="d0c8b1e4-e149-4675-ae17-76641f59c2e5" xsi:nil="true"/>
    <Self_Registration_Enabled xmlns="d0c8b1e4-e149-4675-ae17-76641f59c2e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CD7CAEF4B98B488528C845F577597C" ma:contentTypeVersion="36" ma:contentTypeDescription="Create a new document." ma:contentTypeScope="" ma:versionID="7e0f9eade7b8973a46ef98306685d0de">
  <xsd:schema xmlns:xsd="http://www.w3.org/2001/XMLSchema" xmlns:xs="http://www.w3.org/2001/XMLSchema" xmlns:p="http://schemas.microsoft.com/office/2006/metadata/properties" xmlns:ns1="http://schemas.microsoft.com/sharepoint/v3" xmlns:ns3="d297f47a-badf-4cf5-8ce1-1f1b8d24c83e" xmlns:ns4="d0c8b1e4-e149-4675-ae17-76641f59c2e5" targetNamespace="http://schemas.microsoft.com/office/2006/metadata/properties" ma:root="true" ma:fieldsID="7cf9f0b2baac2e091d7b7389790e0b95" ns1:_="" ns3:_="" ns4:_="">
    <xsd:import namespace="http://schemas.microsoft.com/sharepoint/v3"/>
    <xsd:import namespace="d297f47a-badf-4cf5-8ce1-1f1b8d24c83e"/>
    <xsd:import namespace="d0c8b1e4-e149-4675-ae17-76641f59c2e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1" nillable="true" ma:displayName="Unified Compliance Policy Properties" ma:hidden="true" ma:internalName="_ip_UnifiedCompliancePolicyProperties">
      <xsd:simpleType>
        <xsd:restriction base="dms:Note"/>
      </xsd:simpleType>
    </xsd:element>
    <xsd:element name="_ip_UnifiedCompliancePolicyUIAction" ma:index="4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97f47a-badf-4cf5-8ce1-1f1b8d24c8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c8b1e4-e149-4675-ae17-76641f59c2e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LengthInSeconds" ma:index="4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91ED6C-5131-4DE0-BECB-B26927545F66}">
  <ds:schemaRefs>
    <ds:schemaRef ds:uri="http://purl.org/dc/elements/1.1/"/>
    <ds:schemaRef ds:uri="http://schemas.microsoft.com/office/2006/metadata/properties"/>
    <ds:schemaRef ds:uri="d0c8b1e4-e149-4675-ae17-76641f59c2e5"/>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297f47a-badf-4cf5-8ce1-1f1b8d24c83e"/>
    <ds:schemaRef ds:uri="http://www.w3.org/XML/1998/namespace"/>
    <ds:schemaRef ds:uri="http://purl.org/dc/dcmitype/"/>
  </ds:schemaRefs>
</ds:datastoreItem>
</file>

<file path=customXml/itemProps2.xml><?xml version="1.0" encoding="utf-8"?>
<ds:datastoreItem xmlns:ds="http://schemas.openxmlformats.org/officeDocument/2006/customXml" ds:itemID="{A8634CB6-2D14-4D43-BA57-CB7E8F53C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97f47a-badf-4cf5-8ce1-1f1b8d24c83e"/>
    <ds:schemaRef ds:uri="d0c8b1e4-e149-4675-ae17-76641f59c2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32250B-A3A6-4246-AEF2-4F209A7BE7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3235</Words>
  <Characters>18445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Pharo</dc:creator>
  <cp:keywords/>
  <dc:description/>
  <cp:lastModifiedBy>Jane Innes</cp:lastModifiedBy>
  <cp:revision>2</cp:revision>
  <cp:lastPrinted>2022-03-20T19:21:00Z</cp:lastPrinted>
  <dcterms:created xsi:type="dcterms:W3CDTF">2022-04-27T09:28:00Z</dcterms:created>
  <dcterms:modified xsi:type="dcterms:W3CDTF">2022-04-27T09:28:00Z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0x010100F0CD7CAEF4B98B488528C845F577597C</vt:lpwstr>
  </property>
</Properties>
</file>